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82876" w14:textId="2DC6DC01" w:rsidR="00D9408C" w:rsidRDefault="00000000" w:rsidP="00471EF7">
      <w:pPr>
        <w:spacing w:after="40"/>
        <w:jc w:val="center"/>
      </w:pPr>
      <w:r>
        <w:rPr>
          <w:b/>
          <w:color w:val="182B49"/>
          <w:sz w:val="40"/>
        </w:rPr>
        <w:t xml:space="preserve">PROPOSAL FOR </w:t>
      </w:r>
      <w:r w:rsidR="00471EF7">
        <w:rPr>
          <w:b/>
          <w:color w:val="182B49"/>
          <w:sz w:val="40"/>
        </w:rPr>
        <w:br/>
      </w:r>
      <w:r>
        <w:rPr>
          <w:b/>
          <w:color w:val="182B49"/>
          <w:sz w:val="40"/>
        </w:rPr>
        <w:t>TAX INCREMENT FINANCING (TIF) AGREEMENT</w:t>
      </w:r>
    </w:p>
    <w:p w14:paraId="3B84E9D2" w14:textId="77777777" w:rsidR="00D9408C" w:rsidRDefault="00000000" w:rsidP="00471EF7">
      <w:pPr>
        <w:spacing w:after="360"/>
        <w:jc w:val="center"/>
      </w:pPr>
      <w:r>
        <w:rPr>
          <w:color w:val="008080"/>
          <w:sz w:val="26"/>
        </w:rPr>
        <w:t>Master Economic Development Plan &amp; Bond Yield Sizing Proposal</w:t>
      </w:r>
    </w:p>
    <w:tbl>
      <w:tblPr>
        <w:tblW w:w="0" w:type="auto"/>
        <w:jc w:val="center"/>
        <w:tblLook w:val="04A0" w:firstRow="1" w:lastRow="0" w:firstColumn="1" w:lastColumn="0" w:noHBand="0" w:noVBand="1"/>
      </w:tblPr>
      <w:tblGrid>
        <w:gridCol w:w="1728"/>
        <w:gridCol w:w="7632"/>
      </w:tblGrid>
      <w:tr w:rsidR="00D9408C" w14:paraId="064C5E0E" w14:textId="77777777">
        <w:trPr>
          <w:jc w:val="center"/>
        </w:trPr>
        <w:tc>
          <w:tcPr>
            <w:tcW w:w="1728" w:type="dxa"/>
          </w:tcPr>
          <w:p w14:paraId="750AE48B" w14:textId="77777777" w:rsidR="00D9408C" w:rsidRDefault="00000000">
            <w:pPr>
              <w:spacing w:after="40"/>
            </w:pPr>
            <w:r>
              <w:rPr>
                <w:b/>
                <w:color w:val="182B49"/>
              </w:rPr>
              <w:t>TO:</w:t>
            </w:r>
          </w:p>
        </w:tc>
        <w:tc>
          <w:tcPr>
            <w:tcW w:w="7632" w:type="dxa"/>
          </w:tcPr>
          <w:p w14:paraId="3DEE9EBC" w14:textId="77777777" w:rsidR="00D9408C" w:rsidRDefault="00000000">
            <w:pPr>
              <w:spacing w:after="40"/>
            </w:pPr>
            <w:r>
              <w:t>City Council and Mayor, City of Monroe, Louisiana</w:t>
            </w:r>
          </w:p>
        </w:tc>
      </w:tr>
      <w:tr w:rsidR="00D9408C" w14:paraId="02F4CA2B" w14:textId="77777777">
        <w:trPr>
          <w:jc w:val="center"/>
        </w:trPr>
        <w:tc>
          <w:tcPr>
            <w:tcW w:w="1728" w:type="dxa"/>
          </w:tcPr>
          <w:p w14:paraId="3AC0E4B3" w14:textId="77777777" w:rsidR="00D9408C" w:rsidRDefault="00000000">
            <w:pPr>
              <w:spacing w:after="40"/>
            </w:pPr>
            <w:r>
              <w:rPr>
                <w:b/>
                <w:color w:val="182B49"/>
              </w:rPr>
              <w:t>FROM:</w:t>
            </w:r>
          </w:p>
        </w:tc>
        <w:tc>
          <w:tcPr>
            <w:tcW w:w="7632" w:type="dxa"/>
          </w:tcPr>
          <w:p w14:paraId="151287EA" w14:textId="77777777" w:rsidR="00D9408C" w:rsidRDefault="00000000">
            <w:pPr>
              <w:spacing w:after="40"/>
            </w:pPr>
            <w:r>
              <w:t>Southside Economic Development District (SEDD) | Vicki Lang, President</w:t>
            </w:r>
          </w:p>
        </w:tc>
      </w:tr>
      <w:tr w:rsidR="00D9408C" w14:paraId="1018019F" w14:textId="77777777">
        <w:trPr>
          <w:jc w:val="center"/>
        </w:trPr>
        <w:tc>
          <w:tcPr>
            <w:tcW w:w="1728" w:type="dxa"/>
          </w:tcPr>
          <w:p w14:paraId="03FC82E8" w14:textId="77777777" w:rsidR="00D9408C" w:rsidRDefault="00000000">
            <w:pPr>
              <w:spacing w:after="40"/>
            </w:pPr>
            <w:r>
              <w:rPr>
                <w:b/>
                <w:color w:val="182B49"/>
              </w:rPr>
              <w:t>DATE:</w:t>
            </w:r>
          </w:p>
        </w:tc>
        <w:tc>
          <w:tcPr>
            <w:tcW w:w="7632" w:type="dxa"/>
          </w:tcPr>
          <w:p w14:paraId="0936A301" w14:textId="7A46CB84" w:rsidR="00D9408C" w:rsidRDefault="00471EF7">
            <w:pPr>
              <w:spacing w:after="40"/>
            </w:pPr>
            <w:r>
              <w:t>November 2026</w:t>
            </w:r>
          </w:p>
        </w:tc>
      </w:tr>
      <w:tr w:rsidR="00D9408C" w14:paraId="7B15C098" w14:textId="77777777">
        <w:trPr>
          <w:jc w:val="center"/>
        </w:trPr>
        <w:tc>
          <w:tcPr>
            <w:tcW w:w="1728" w:type="dxa"/>
          </w:tcPr>
          <w:p w14:paraId="0402F80D" w14:textId="77777777" w:rsidR="00D9408C" w:rsidRDefault="00000000">
            <w:pPr>
              <w:spacing w:after="40"/>
            </w:pPr>
            <w:r>
              <w:rPr>
                <w:b/>
                <w:color w:val="182B49"/>
              </w:rPr>
              <w:t>SUBJECT:</w:t>
            </w:r>
          </w:p>
        </w:tc>
        <w:tc>
          <w:tcPr>
            <w:tcW w:w="7632" w:type="dxa"/>
          </w:tcPr>
          <w:p w14:paraId="00F2BBA8" w14:textId="77777777" w:rsidR="00D9408C" w:rsidRDefault="00000000">
            <w:pPr>
              <w:spacing w:after="40"/>
            </w:pPr>
            <w:r>
              <w:t>Proposal for 30-Year TIF Agreement &amp; $30,000,000 Net Bond Yield Sizing</w:t>
            </w:r>
          </w:p>
        </w:tc>
      </w:tr>
    </w:tbl>
    <w:p w14:paraId="0C8A79A4" w14:textId="77777777" w:rsidR="00D9408C" w:rsidRDefault="00D9408C"/>
    <w:p w14:paraId="37692F51" w14:textId="77777777" w:rsidR="00D9408C" w:rsidRDefault="00D9408C">
      <w:pPr>
        <w:pBdr>
          <w:bottom w:val="single" w:sz="18" w:space="1" w:color="182B49"/>
        </w:pBdr>
        <w:spacing w:after="240"/>
      </w:pPr>
    </w:p>
    <w:p w14:paraId="59490CBE" w14:textId="77777777" w:rsidR="00D9408C" w:rsidRDefault="00000000">
      <w:pPr>
        <w:keepNext/>
        <w:pBdr>
          <w:bottom w:val="single" w:sz="12" w:space="4" w:color="182B49"/>
        </w:pBdr>
        <w:spacing w:before="360"/>
      </w:pPr>
      <w:r>
        <w:rPr>
          <w:b/>
          <w:color w:val="182B49"/>
          <w:sz w:val="30"/>
        </w:rPr>
        <w:t>Executive Summary</w:t>
      </w:r>
    </w:p>
    <w:p w14:paraId="627AB874" w14:textId="77777777" w:rsidR="00D9408C" w:rsidRDefault="00000000">
      <w:r>
        <w:t>The Southside Economic Development District (SEDD) respectfully submits this proposal to enter into a 30-Year Tax Increment Financing (TIF) Agreement with the City of Monroe. The SEDD has identified a comprehensive $68,235,000 Master Capital Improvement Plan across six major economic, infrastructural, and residential projects designed to transform South Monroe.</w:t>
      </w:r>
    </w:p>
    <w:p w14:paraId="19031568" w14:textId="77777777" w:rsidR="00D9408C" w:rsidRDefault="00000000">
      <w:r>
        <w:t>To catalyze this vision, the SEDD requests a 30-year TIF agreement structured to generate a net usable bond yield of $30,000,000 in Phase 1 capital. This $30 million TIF allocation will serve as critical local seed and matching capital to leverage an estimated $38,235,000 in external funding from Louisiana Capital Outlay, Federal DOTD/EDA Infrastructure Grants, and Public-Private Partnerships (P3s).</w:t>
      </w:r>
    </w:p>
    <w:tbl>
      <w:tblPr>
        <w:tblW w:w="0" w:type="auto"/>
        <w:jc w:val="center"/>
        <w:tblLayout w:type="fixed"/>
        <w:tblLook w:val="04A0" w:firstRow="1" w:lastRow="0" w:firstColumn="1" w:lastColumn="0" w:noHBand="0" w:noVBand="1"/>
      </w:tblPr>
      <w:tblGrid>
        <w:gridCol w:w="9360"/>
      </w:tblGrid>
      <w:tr w:rsidR="00D9408C" w14:paraId="3D7E67DF" w14:textId="77777777">
        <w:trPr>
          <w:jc w:val="center"/>
        </w:trPr>
        <w:tc>
          <w:tcPr>
            <w:tcW w:w="9360" w:type="dxa"/>
            <w:tcBorders>
              <w:left w:val="single" w:sz="24" w:space="0" w:color="182B49"/>
            </w:tcBorders>
            <w:shd w:val="clear" w:color="auto" w:fill="F0F4F8"/>
            <w:tcMar>
              <w:top w:w="140" w:type="dxa"/>
              <w:left w:w="200" w:type="dxa"/>
              <w:bottom w:w="140" w:type="dxa"/>
              <w:right w:w="200" w:type="dxa"/>
            </w:tcMar>
          </w:tcPr>
          <w:p w14:paraId="2658F366" w14:textId="77777777" w:rsidR="00D9408C" w:rsidRDefault="00000000">
            <w:pPr>
              <w:spacing w:after="0"/>
            </w:pPr>
            <w:r>
              <w:rPr>
                <w:b/>
                <w:color w:val="182B49"/>
              </w:rPr>
              <w:t>EXECUTIVE SUMMARY HIGHLIGHTS</w:t>
            </w:r>
            <w:r>
              <w:rPr>
                <w:b/>
                <w:color w:val="182B49"/>
              </w:rPr>
              <w:br/>
            </w:r>
            <w:r>
              <w:rPr>
                <w:sz w:val="20"/>
              </w:rPr>
              <w:t>• Total Master Capital Plan Scope: $68,235,000</w:t>
            </w:r>
            <w:r>
              <w:rPr>
                <w:sz w:val="20"/>
              </w:rPr>
              <w:br/>
              <w:t>• SEDD Phase 1 TIF Net Proceeds Target: $30,000,000</w:t>
            </w:r>
            <w:r>
              <w:rPr>
                <w:sz w:val="20"/>
              </w:rPr>
              <w:br/>
              <w:t>• External Co-Funding / Grant Target: $38,235,000</w:t>
            </w:r>
            <w:r>
              <w:rPr>
                <w:sz w:val="20"/>
              </w:rPr>
              <w:br/>
              <w:t>• Key Matching Sources: LA Capital Outlay, Federal DOTD/EDA Grants, &amp; Public-Private Partnerships (P3)</w:t>
            </w:r>
          </w:p>
        </w:tc>
      </w:tr>
    </w:tbl>
    <w:p w14:paraId="3563AB5B" w14:textId="77777777" w:rsidR="00D9408C" w:rsidRDefault="00000000">
      <w:pPr>
        <w:keepNext/>
        <w:pBdr>
          <w:bottom w:val="single" w:sz="12" w:space="4" w:color="182B49"/>
        </w:pBdr>
        <w:spacing w:before="360"/>
      </w:pPr>
      <w:r>
        <w:rPr>
          <w:b/>
          <w:color w:val="182B49"/>
          <w:sz w:val="30"/>
        </w:rPr>
        <w:t>Part I: Financial Sizing for a $30,000,000 Net Bond Yield</w:t>
      </w:r>
    </w:p>
    <w:p w14:paraId="4BB197A0" w14:textId="77777777" w:rsidR="00D9408C" w:rsidRDefault="00000000">
      <w:r>
        <w:t>To yield $30,000,000 in net capital proceeds directly for project construction, the baseline bond issuance must cover mandatory public finance costs, including capitalized interest during construction, statutory debt service reserves, and underwriting costs.</w:t>
      </w:r>
    </w:p>
    <w:p w14:paraId="7712BF98" w14:textId="77777777" w:rsidR="00D9408C" w:rsidRDefault="00000000">
      <w:pPr>
        <w:keepNext/>
        <w:spacing w:before="280" w:after="80"/>
      </w:pPr>
      <w:r>
        <w:rPr>
          <w:b/>
          <w:color w:val="008080"/>
          <w:sz w:val="24"/>
        </w:rPr>
        <w:t>1. Estimated Bond Issuance Sizing ($30M Net Capital Target)</w:t>
      </w:r>
    </w:p>
    <w:p w14:paraId="254D2EB2" w14:textId="77777777" w:rsidR="00D9408C" w:rsidRDefault="00000000">
      <w:pPr>
        <w:spacing w:after="80"/>
        <w:ind w:left="360"/>
      </w:pPr>
      <w:r>
        <w:rPr>
          <w:b/>
        </w:rPr>
        <w:t xml:space="preserve">• Target Net Construction Proceeds: </w:t>
      </w:r>
      <w:r>
        <w:t>$30,000,000</w:t>
      </w:r>
      <w:r>
        <w:br/>
      </w:r>
      <w:r>
        <w:rPr>
          <w:b/>
        </w:rPr>
        <w:t xml:space="preserve">• Estimated Interest Rate: </w:t>
      </w:r>
      <w:r>
        <w:t>~5.25% – 5.75% (30-Year Fixed Municipal TIF Rate)</w:t>
      </w:r>
      <w:r>
        <w:br/>
      </w:r>
      <w:r>
        <w:rPr>
          <w:b/>
        </w:rPr>
        <w:t xml:space="preserve">• Debt Service Reserve Fund (DSRF): </w:t>
      </w:r>
      <w:r>
        <w:t>~$2,820,000</w:t>
      </w:r>
      <w:r>
        <w:br/>
      </w:r>
      <w:r>
        <w:rPr>
          <w:b/>
        </w:rPr>
        <w:lastRenderedPageBreak/>
        <w:t xml:space="preserve">• Capitalized Interest (12–18 Months During Construction): </w:t>
      </w:r>
      <w:r>
        <w:t>~$3,840,000</w:t>
      </w:r>
      <w:r>
        <w:br/>
      </w:r>
      <w:r>
        <w:rPr>
          <w:b/>
        </w:rPr>
        <w:t xml:space="preserve">• Underwriter’s Discount &amp; Costs of Issuance (~3%): </w:t>
      </w:r>
      <w:r>
        <w:t>~$1,260,000</w:t>
      </w:r>
      <w:r>
        <w:br/>
      </w:r>
      <w:r>
        <w:rPr>
          <w:b/>
        </w:rPr>
        <w:t>• Estimated Gross Bond Issuance Required: ~$37,920,000</w:t>
      </w:r>
    </w:p>
    <w:p w14:paraId="1D051B89" w14:textId="77777777" w:rsidR="00D9408C" w:rsidRDefault="00000000">
      <w:pPr>
        <w:keepNext/>
        <w:spacing w:before="280" w:after="80"/>
      </w:pPr>
      <w:r>
        <w:rPr>
          <w:b/>
          <w:color w:val="008080"/>
          <w:sz w:val="24"/>
        </w:rPr>
        <w:t>2. 30-Year TIF Revenue Sizing &amp; Debt Service Coverage</w:t>
      </w:r>
    </w:p>
    <w:p w14:paraId="67FE2B70" w14:textId="77777777" w:rsidR="00D9408C" w:rsidRDefault="00000000">
      <w:r>
        <w:t>Municipal bond underwriters require a Debt Service Coverage Ratio (DSCR) of 1.25x to 1.35x on revenue-backed TIF bonds to account for annual fluctuations in sales and property tax collections.</w:t>
      </w:r>
    </w:p>
    <w:tbl>
      <w:tblPr>
        <w:tblW w:w="0" w:type="auto"/>
        <w:jc w:val="center"/>
        <w:tblLayout w:type="fixed"/>
        <w:tblLook w:val="04A0" w:firstRow="1" w:lastRow="0" w:firstColumn="1" w:lastColumn="0" w:noHBand="0" w:noVBand="1"/>
      </w:tblPr>
      <w:tblGrid>
        <w:gridCol w:w="9360"/>
      </w:tblGrid>
      <w:tr w:rsidR="00D9408C" w14:paraId="3DB558E7" w14:textId="77777777">
        <w:trPr>
          <w:jc w:val="center"/>
        </w:trPr>
        <w:tc>
          <w:tcPr>
            <w:tcW w:w="9360" w:type="dxa"/>
            <w:tcBorders>
              <w:left w:val="single" w:sz="24" w:space="0" w:color="182B49"/>
            </w:tcBorders>
            <w:shd w:val="clear" w:color="auto" w:fill="F0F4F8"/>
            <w:tcMar>
              <w:top w:w="140" w:type="dxa"/>
              <w:left w:w="200" w:type="dxa"/>
              <w:bottom w:w="140" w:type="dxa"/>
              <w:right w:w="200" w:type="dxa"/>
            </w:tcMar>
          </w:tcPr>
          <w:p w14:paraId="1CD54B45" w14:textId="77777777" w:rsidR="00D9408C" w:rsidRDefault="00000000">
            <w:pPr>
              <w:spacing w:after="0"/>
            </w:pPr>
            <w:r>
              <w:rPr>
                <w:b/>
                <w:color w:val="182B49"/>
              </w:rPr>
              <w:t>DEBT SERVICE &amp; REVENUE COVERAGE FORMULA</w:t>
            </w:r>
            <w:r>
              <w:rPr>
                <w:b/>
                <w:color w:val="182B49"/>
              </w:rPr>
              <w:br/>
            </w:r>
            <w:r>
              <w:rPr>
                <w:sz w:val="20"/>
              </w:rPr>
              <w:t>Annual Debt Service on $37.92M Gross Issuance (30 Yrs @ 5.5%) ≈ $2,615,000 / year</w:t>
            </w:r>
            <w:r>
              <w:rPr>
                <w:sz w:val="20"/>
              </w:rPr>
              <w:br/>
              <w:t>Required Annual TIF Increment Revenue (at 1.25x DSCR) = $2,615,000 × 1.25 = $3,268,750 / year</w:t>
            </w:r>
            <w:r>
              <w:rPr>
                <w:sz w:val="20"/>
              </w:rPr>
              <w:br/>
            </w:r>
            <w:r>
              <w:rPr>
                <w:sz w:val="20"/>
              </w:rPr>
              <w:br/>
              <w:t>• Estimated 30-Year Cumulative TIF Increment Target: ~$98,062,500</w:t>
            </w:r>
            <w:r>
              <w:rPr>
                <w:sz w:val="20"/>
              </w:rPr>
              <w:br/>
              <w:t>• Projected Total Debt Service (Principal + Interest over 30 Years): ~$78,450,000</w:t>
            </w:r>
          </w:p>
        </w:tc>
      </w:tr>
    </w:tbl>
    <w:p w14:paraId="712070A7" w14:textId="77777777" w:rsidR="00D9408C" w:rsidRDefault="00000000">
      <w:pPr>
        <w:keepNext/>
        <w:pBdr>
          <w:bottom w:val="single" w:sz="12" w:space="4" w:color="182B49"/>
        </w:pBdr>
        <w:spacing w:before="360"/>
      </w:pPr>
      <w:r>
        <w:rPr>
          <w:b/>
          <w:color w:val="182B49"/>
          <w:sz w:val="30"/>
        </w:rPr>
        <w:t>Part II: SEDD Master Capital Plan &amp; Co-Funding Strategy</w:t>
      </w:r>
    </w:p>
    <w:p w14:paraId="048EB59A" w14:textId="77777777" w:rsidR="00D9408C" w:rsidRDefault="00000000">
      <w:r>
        <w:t>By deploying $30,000,000 in Phase 1 TIF bond proceeds as matching funds, the SEDD can aggressively pursue outside funding sources—including Louisiana Capital Outlay, Federal DOTD/EDA Grants, and Public-Private Partnerships (P3)—to fulfill the complete $68,235,000 capital commitment without requiring additional local municipal debt.</w:t>
      </w:r>
    </w:p>
    <w:p w14:paraId="71D97D07" w14:textId="77777777" w:rsidR="00D9408C" w:rsidRDefault="00000000">
      <w:pPr>
        <w:keepNext/>
        <w:pBdr>
          <w:bottom w:val="single" w:sz="12" w:space="4" w:color="182B49"/>
        </w:pBdr>
        <w:spacing w:before="360"/>
      </w:pPr>
      <w:r>
        <w:rPr>
          <w:b/>
          <w:color w:val="182B49"/>
          <w:sz w:val="30"/>
        </w:rPr>
        <w:t>Part III: Detailed Project Descriptions &amp; Leverage Strategy</w:t>
      </w:r>
    </w:p>
    <w:p w14:paraId="3F9E7C90" w14:textId="77777777" w:rsidR="00D9408C" w:rsidRDefault="00000000">
      <w:pPr>
        <w:keepNext/>
        <w:spacing w:before="280" w:after="80"/>
      </w:pPr>
      <w:r>
        <w:rPr>
          <w:b/>
          <w:color w:val="008080"/>
          <w:sz w:val="24"/>
        </w:rPr>
        <w:t>1. Louisiana Purchase Gardens and Zoo Enhancements</w:t>
      </w:r>
    </w:p>
    <w:p w14:paraId="3E1D8671" w14:textId="77777777" w:rsidR="00D9408C" w:rsidRDefault="00000000">
      <w:pPr>
        <w:spacing w:after="80"/>
      </w:pPr>
      <w:r>
        <w:rPr>
          <w:b/>
        </w:rPr>
        <w:t xml:space="preserve">• Type of Development: </w:t>
      </w:r>
      <w:r>
        <w:t>Recreation, Learning, and Entertainment (District 5)</w:t>
      </w:r>
      <w:r>
        <w:br/>
      </w:r>
      <w:r>
        <w:rPr>
          <w:b/>
        </w:rPr>
        <w:t xml:space="preserve">• Total Estimated Cost: </w:t>
      </w:r>
      <w:r>
        <w:t>$9,500,000</w:t>
      </w:r>
      <w:r>
        <w:br/>
      </w:r>
      <w:r>
        <w:rPr>
          <w:b/>
        </w:rPr>
        <w:t xml:space="preserve">• SEDD TIF Phase 1 Allocation: </w:t>
      </w:r>
      <w:r>
        <w:t>$9,500,000 (Fully Funded in Phase 1 TIF)</w:t>
      </w:r>
      <w:r>
        <w:br/>
      </w:r>
      <w:r>
        <w:rPr>
          <w:b/>
        </w:rPr>
        <w:t xml:space="preserve">• External Co-Funding Target: </w:t>
      </w:r>
      <w:r>
        <w:t>$0 (N/A)</w:t>
      </w:r>
      <w:r>
        <w:br/>
      </w:r>
      <w:r>
        <w:br/>
      </w:r>
      <w:r>
        <w:rPr>
          <w:b/>
          <w:color w:val="182B49"/>
        </w:rPr>
        <w:t>Project Description &amp; Narrative:</w:t>
      </w:r>
      <w:r>
        <w:rPr>
          <w:b/>
          <w:color w:val="182B49"/>
        </w:rPr>
        <w:br/>
      </w:r>
    </w:p>
    <w:p w14:paraId="0DBB66A2" w14:textId="77777777" w:rsidR="00D9408C" w:rsidRDefault="00000000">
      <w:pPr>
        <w:ind w:left="216"/>
      </w:pPr>
      <w:r>
        <w:t>Utilize the Louisiana Purchase Gardens and Zoo and Bernstein Park property to create a premier destination and tourist area, including a Botanical Garden and an Amphitheater for Outdoor Events. Improve the walk paths with beautification features. Partner with the Zoological Society and the City of Monroe to improve the interior features and exhibits of the Zoo.</w:t>
      </w:r>
      <w:r>
        <w:br/>
      </w:r>
      <w:r>
        <w:br/>
        <w:t>Install privacy fencing that encompasses the property to enhance the secluded experience when visiting the zoo, and/or consider acquisition of properties bordering the Zoo to create a green space buffer around the property. Procure infrastructure and roadway projects to improve access to and from the Zoo by routes of South 2nd through Wilson Street, and Ticheli Road through Bernstein Park Drive. Improvements would include improved roads and drainage systems, safe and well-lighted pedestrian walkways, increased security, and beautification landscaping that would welcome all visitors from near and far.</w:t>
      </w:r>
    </w:p>
    <w:p w14:paraId="695D1690" w14:textId="77777777" w:rsidR="00D9408C" w:rsidRDefault="00000000">
      <w:pPr>
        <w:spacing w:after="200"/>
      </w:pPr>
      <w:r>
        <w:rPr>
          <w:b/>
          <w:color w:val="182B49"/>
        </w:rPr>
        <w:t>Site &amp; Infrastructure Specifications:</w:t>
      </w:r>
      <w:r>
        <w:rPr>
          <w:b/>
          <w:color w:val="182B49"/>
        </w:rPr>
        <w:br/>
      </w:r>
      <w:r>
        <w:t>Zoning: OS (Open Space - No change required) | Flood Plain: Zone X, Zone A in Lagoon Area | Stormwater/Outfall: Existing Available</w:t>
      </w:r>
      <w:r>
        <w:br/>
        <w:t>Wetlands: Non-present | Sewer: Available | Water: Available | Electrical: Available</w:t>
      </w:r>
      <w:r>
        <w:br/>
        <w:t>Vehicular Access: Needs Improvement | Lighting: Existing but Needs Improvement | Right of Way Acquisition: Required in Various Areas</w:t>
      </w:r>
    </w:p>
    <w:p w14:paraId="3337779E" w14:textId="77777777" w:rsidR="00D9408C" w:rsidRDefault="00000000">
      <w:pPr>
        <w:keepNext/>
        <w:spacing w:before="280" w:after="80"/>
      </w:pPr>
      <w:r>
        <w:rPr>
          <w:b/>
          <w:color w:val="008080"/>
          <w:sz w:val="24"/>
        </w:rPr>
        <w:t>2. Renwick Street Business Corridor</w:t>
      </w:r>
    </w:p>
    <w:p w14:paraId="71F4B20D" w14:textId="77777777" w:rsidR="00D9408C" w:rsidRDefault="00000000">
      <w:pPr>
        <w:spacing w:after="80"/>
      </w:pPr>
      <w:r>
        <w:rPr>
          <w:b/>
        </w:rPr>
        <w:t xml:space="preserve">• Type of Development: </w:t>
      </w:r>
      <w:r>
        <w:t>Business and Mercantile (District 3)</w:t>
      </w:r>
      <w:r>
        <w:br/>
      </w:r>
      <w:r>
        <w:rPr>
          <w:b/>
        </w:rPr>
        <w:t xml:space="preserve">• Total Estimated Cost: </w:t>
      </w:r>
      <w:r>
        <w:t>$9,935,000</w:t>
      </w:r>
      <w:r>
        <w:br/>
      </w:r>
      <w:r>
        <w:rPr>
          <w:b/>
        </w:rPr>
        <w:t xml:space="preserve">• SEDD TIF Phase 1 Allocation: </w:t>
      </w:r>
      <w:r>
        <w:t>$5,000,000 (Phase 1 TIF Seed Capital)</w:t>
      </w:r>
      <w:r>
        <w:br/>
      </w:r>
      <w:r>
        <w:rPr>
          <w:b/>
        </w:rPr>
        <w:t xml:space="preserve">• External Co-Funding Target: </w:t>
      </w:r>
      <w:r>
        <w:t>$4,935,000 (Louisiana Capital Outlay &amp; Federal EDA Grants)</w:t>
      </w:r>
      <w:r>
        <w:br/>
      </w:r>
      <w:r>
        <w:br/>
      </w:r>
      <w:r>
        <w:rPr>
          <w:b/>
          <w:color w:val="182B49"/>
        </w:rPr>
        <w:t>Project Description &amp; Narrative:</w:t>
      </w:r>
      <w:r>
        <w:rPr>
          <w:b/>
          <w:color w:val="182B49"/>
        </w:rPr>
        <w:br/>
      </w:r>
    </w:p>
    <w:p w14:paraId="535F8BC4" w14:textId="77777777" w:rsidR="00D9408C" w:rsidRDefault="00000000">
      <w:pPr>
        <w:ind w:left="216"/>
      </w:pPr>
      <w:r>
        <w:t>Promote acquisition of land and development of a Renwick Street Business Corridor spanning from Carroll Jr. High School east to Powell Avenue to create a vibrant zone of new buildings and development for Mercantile and Professional services. The corridor will focus heavily on the expansion of Disadvantaged Business Enterprises (DBEs) and providing hands-on training opportunities for the local community.</w:t>
      </w:r>
      <w:r>
        <w:br/>
      </w:r>
      <w:r>
        <w:br/>
        <w:t>Infrastructure improvements will include comprehensive widening of roadways with curb and gutter, subsurface drainage upgrades, beautification enhancements, increased security, and well-lighted safe pedestrian walkways on both sides of the street directly connected to U.S. 165 and Powell Avenue arterials.</w:t>
      </w:r>
    </w:p>
    <w:p w14:paraId="1381BF8A" w14:textId="77777777" w:rsidR="00D9408C" w:rsidRDefault="00000000">
      <w:pPr>
        <w:spacing w:after="200"/>
      </w:pPr>
      <w:r>
        <w:rPr>
          <w:b/>
          <w:color w:val="182B49"/>
        </w:rPr>
        <w:t>Site &amp; Infrastructure Specifications:</w:t>
      </w:r>
      <w:r>
        <w:rPr>
          <w:b/>
          <w:color w:val="182B49"/>
        </w:rPr>
        <w:br/>
      </w:r>
      <w:r>
        <w:t>Zoning: B-2, B-3, and B-4 | Flood Plain: Zone X | Stormwater/Outfall: Available</w:t>
      </w:r>
      <w:r>
        <w:br/>
        <w:t>Wetlands: Non-present | Sewer: Available | Water: Available | Electrical: Available</w:t>
      </w:r>
      <w:r>
        <w:br/>
        <w:t>Vehicular Access: Available, Needs Improvement | Lighting: Needs Improvement | Right of Way Acquisition: Not Required</w:t>
      </w:r>
    </w:p>
    <w:p w14:paraId="739DC2BC" w14:textId="77777777" w:rsidR="00D9408C" w:rsidRDefault="00000000">
      <w:pPr>
        <w:keepNext/>
        <w:spacing w:before="280" w:after="80"/>
      </w:pPr>
      <w:r>
        <w:rPr>
          <w:b/>
          <w:color w:val="008080"/>
          <w:sz w:val="24"/>
        </w:rPr>
        <w:t>3. Safe Neighborhood Models (Phased Implementation)</w:t>
      </w:r>
    </w:p>
    <w:p w14:paraId="06448995" w14:textId="77777777" w:rsidR="00D9408C" w:rsidRDefault="00000000">
      <w:pPr>
        <w:spacing w:after="80"/>
      </w:pPr>
      <w:r>
        <w:rPr>
          <w:b/>
        </w:rPr>
        <w:t xml:space="preserve">• Type of Development: </w:t>
      </w:r>
      <w:r>
        <w:t>Residential (Districts 3, 4, 5)</w:t>
      </w:r>
      <w:r>
        <w:br/>
      </w:r>
      <w:r>
        <w:rPr>
          <w:b/>
        </w:rPr>
        <w:t xml:space="preserve">• Total Estimated Cost: </w:t>
      </w:r>
      <w:r>
        <w:t>$21,050,000</w:t>
      </w:r>
      <w:r>
        <w:br/>
      </w:r>
      <w:r>
        <w:rPr>
          <w:b/>
        </w:rPr>
        <w:t xml:space="preserve">• SEDD TIF Phase 1 Allocation: </w:t>
      </w:r>
      <w:r>
        <w:t>$6,500,000 (Phase 1 TIF - Model 1 &amp; Site Infrastructure)</w:t>
      </w:r>
      <w:r>
        <w:br/>
      </w:r>
      <w:r>
        <w:rPr>
          <w:b/>
        </w:rPr>
        <w:t xml:space="preserve">• External Co-Funding Target: </w:t>
      </w:r>
      <w:r>
        <w:t>$14,550,000 (Public-Private Partnerships (P3), HUD/CDBG, LA Capital Outlay)</w:t>
      </w:r>
      <w:r>
        <w:br/>
      </w:r>
      <w:r>
        <w:br/>
      </w:r>
      <w:r>
        <w:rPr>
          <w:b/>
          <w:color w:val="182B49"/>
        </w:rPr>
        <w:t>Project Description &amp; Narrative:</w:t>
      </w:r>
      <w:r>
        <w:rPr>
          <w:b/>
          <w:color w:val="182B49"/>
        </w:rPr>
        <w:br/>
      </w:r>
    </w:p>
    <w:p w14:paraId="0E5EC02B" w14:textId="77777777" w:rsidR="00D9408C" w:rsidRDefault="00000000">
      <w:pPr>
        <w:ind w:left="216"/>
      </w:pPr>
      <w:r>
        <w:t>Promote SEDD Safe Neighborhoods through land acquisition and the development of three (3) affordable model safe neighborhoods supported by state-of-the-art infrastructure across Districts 3, 4, and 5. Three potential locations have recently been identified and approved by the SEDD district board.</w:t>
      </w:r>
      <w:r>
        <w:br/>
      </w:r>
      <w:r>
        <w:br/>
        <w:t>These modern and energy-efficient neighborhoods will require SEDD to fill in existing open ditches with improved subsurface drainage systems, provide wider curb and gutter roadways, promote landscaped beautification, increase security features, and install well-lighted safe pedestrian walkways connected to arterial streets for seamless community access.</w:t>
      </w:r>
      <w:r>
        <w:br/>
      </w:r>
      <w:r>
        <w:br/>
        <w:t>*Phasing Strategy: Phase 1 deploys $6.5M in TIF proceeds to deliver the first model neighborhood and site infrastructure, using that baseline to leverage private homebuilder partnerships (P3) and federal housing grants for Phase 2 ($14.55M).</w:t>
      </w:r>
    </w:p>
    <w:p w14:paraId="63FEFD72" w14:textId="77777777" w:rsidR="00D9408C" w:rsidRDefault="00000000">
      <w:pPr>
        <w:spacing w:after="200"/>
      </w:pPr>
      <w:r>
        <w:rPr>
          <w:b/>
          <w:color w:val="182B49"/>
        </w:rPr>
        <w:t>Site &amp; Infrastructure Specifications:</w:t>
      </w:r>
      <w:r>
        <w:rPr>
          <w:b/>
          <w:color w:val="182B49"/>
        </w:rPr>
        <w:br/>
      </w:r>
      <w:r>
        <w:t>Zoning: Residential | Flood Plain: Zone X required | Stormwater/Outfall: Zero Impact Required, Outfall Determined Per Site</w:t>
      </w:r>
      <w:r>
        <w:br/>
        <w:t>Wetlands: Non-present in Existing Neighborhoods, New Sites Evaluated | Sewer: Available, Pump Stations Evaluated | Water: Available | Electrical: Available</w:t>
      </w:r>
      <w:r>
        <w:br/>
        <w:t>Vehicular Access: Available | Lighting: Required | Right of Way Acquisition: New Street Right of Way Platted</w:t>
      </w:r>
    </w:p>
    <w:p w14:paraId="484DF7B9" w14:textId="77777777" w:rsidR="00D9408C" w:rsidRDefault="00000000">
      <w:pPr>
        <w:keepNext/>
        <w:spacing w:before="280" w:after="80"/>
      </w:pPr>
      <w:r>
        <w:rPr>
          <w:b/>
          <w:color w:val="008080"/>
          <w:sz w:val="24"/>
        </w:rPr>
        <w:t>4. Infrastructure to Attract Industrial, Distribution, and Manufacturing Businesses</w:t>
      </w:r>
    </w:p>
    <w:p w14:paraId="722550F7" w14:textId="77777777" w:rsidR="00D9408C" w:rsidRDefault="00000000">
      <w:pPr>
        <w:spacing w:after="80"/>
      </w:pPr>
      <w:r>
        <w:rPr>
          <w:b/>
        </w:rPr>
        <w:t xml:space="preserve">• Type of Development: </w:t>
      </w:r>
      <w:r>
        <w:t>Light Industrial, Distribution, and Manufacturing (District 5)</w:t>
      </w:r>
      <w:r>
        <w:br/>
      </w:r>
      <w:r>
        <w:rPr>
          <w:b/>
        </w:rPr>
        <w:t xml:space="preserve">• Total Estimated Cost: </w:t>
      </w:r>
      <w:r>
        <w:t>$22,650,000</w:t>
      </w:r>
      <w:r>
        <w:br/>
      </w:r>
      <w:r>
        <w:rPr>
          <w:b/>
        </w:rPr>
        <w:t xml:space="preserve">• SEDD TIF Phase 1 Allocation: </w:t>
      </w:r>
      <w:r>
        <w:t>$4,000,000 (Phase 1 TIF - Engineering &amp; Primary Access Site Prep)</w:t>
      </w:r>
      <w:r>
        <w:br/>
      </w:r>
      <w:r>
        <w:rPr>
          <w:b/>
        </w:rPr>
        <w:t xml:space="preserve">• External Co-Funding Target: </w:t>
      </w:r>
      <w:r>
        <w:t>$18,650,000 (Federal DOTD / EDA Infrastructure Grants &amp; LA LED Funding)</w:t>
      </w:r>
      <w:r>
        <w:br/>
      </w:r>
      <w:r>
        <w:br/>
      </w:r>
      <w:r>
        <w:rPr>
          <w:b/>
          <w:color w:val="182B49"/>
        </w:rPr>
        <w:t>Project Description &amp; Narrative:</w:t>
      </w:r>
      <w:r>
        <w:rPr>
          <w:b/>
          <w:color w:val="182B49"/>
        </w:rPr>
        <w:br/>
      </w:r>
    </w:p>
    <w:p w14:paraId="1CA00EFD" w14:textId="77777777" w:rsidR="00D9408C" w:rsidRDefault="00000000">
      <w:pPr>
        <w:ind w:left="216"/>
      </w:pPr>
      <w:r>
        <w:t>Promote connectivity and access to the SEDD to encourage the development of Light Industrial, Distribution, and Manufacturing businesses. Improvements would include wider roads with wide entry truck turn-out access, curb and gutter drainage systems, expansion of water distribution and sewer collection main lines, safe and well-lighted pedestrian walkways, and bus depots for connectivity—all with the goal of having access-ready sites attracting businesses to the area that create high-paying job opportunities.</w:t>
      </w:r>
      <w:r>
        <w:br/>
      </w:r>
      <w:r>
        <w:br/>
        <w:t>There are multiple locations suited for these types of businesses across District 5, many of which contain dilapidated structures that simply need to be removed from existing sites to open land up for new building structures and modern industrial development.</w:t>
      </w:r>
    </w:p>
    <w:p w14:paraId="436BD21B" w14:textId="77777777" w:rsidR="00D9408C" w:rsidRDefault="00000000">
      <w:pPr>
        <w:spacing w:after="200"/>
      </w:pPr>
      <w:r>
        <w:rPr>
          <w:b/>
          <w:color w:val="182B49"/>
        </w:rPr>
        <w:t>Site &amp; Infrastructure Specifications:</w:t>
      </w:r>
      <w:r>
        <w:rPr>
          <w:b/>
          <w:color w:val="182B49"/>
        </w:rPr>
        <w:br/>
      </w:r>
      <w:r>
        <w:t>Zoning: Varies Across SEDD | Flood Plain: Varies Across SEDD | Stormwater/Outfall: Available</w:t>
      </w:r>
      <w:r>
        <w:br/>
        <w:t>Wetlands: To Be Determined per Site | Sewer: Available in Most Areas | Water: Available in Most Areas | Electrical: Available in Most Areas</w:t>
      </w:r>
      <w:r>
        <w:br/>
        <w:t>Vehicular Access: Available, Needs Improvement | Lighting: Required | Right of Way Acquisition: Not Required</w:t>
      </w:r>
    </w:p>
    <w:p w14:paraId="1A68399E" w14:textId="77777777" w:rsidR="00D9408C" w:rsidRDefault="00000000">
      <w:pPr>
        <w:keepNext/>
        <w:spacing w:before="280" w:after="80"/>
      </w:pPr>
      <w:r>
        <w:rPr>
          <w:b/>
          <w:color w:val="008080"/>
          <w:sz w:val="24"/>
        </w:rPr>
        <w:t>5. Multi-Purpose Community Event Center</w:t>
      </w:r>
    </w:p>
    <w:p w14:paraId="2B7713C7" w14:textId="77777777" w:rsidR="00D9408C" w:rsidRDefault="00000000">
      <w:pPr>
        <w:spacing w:after="80"/>
      </w:pPr>
      <w:r>
        <w:rPr>
          <w:b/>
        </w:rPr>
        <w:t xml:space="preserve">• Type of Development: </w:t>
      </w:r>
      <w:r>
        <w:t>Business and Assembly (SEDD Wide)</w:t>
      </w:r>
      <w:r>
        <w:br/>
      </w:r>
      <w:r>
        <w:rPr>
          <w:b/>
        </w:rPr>
        <w:t xml:space="preserve">• Total Estimated Cost: </w:t>
      </w:r>
      <w:r>
        <w:t>$5,000,000 (Net)</w:t>
      </w:r>
      <w:r>
        <w:br/>
      </w:r>
      <w:r>
        <w:rPr>
          <w:b/>
        </w:rPr>
        <w:t xml:space="preserve">• SEDD TIF Phase 1 Allocation: </w:t>
      </w:r>
      <w:r>
        <w:t>$5,000,000 (Fully Funded in Phase 1 TIF)</w:t>
      </w:r>
      <w:r>
        <w:br/>
      </w:r>
      <w:r>
        <w:rPr>
          <w:b/>
        </w:rPr>
        <w:t xml:space="preserve">• External Co-Funding Target: </w:t>
      </w:r>
      <w:r>
        <w:t>$0 (N/A)</w:t>
      </w:r>
      <w:r>
        <w:br/>
      </w:r>
      <w:r>
        <w:br/>
      </w:r>
      <w:r>
        <w:rPr>
          <w:b/>
          <w:color w:val="182B49"/>
        </w:rPr>
        <w:t>Project Description &amp; Narrative:</w:t>
      </w:r>
      <w:r>
        <w:rPr>
          <w:b/>
          <w:color w:val="182B49"/>
        </w:rPr>
        <w:br/>
      </w:r>
    </w:p>
    <w:p w14:paraId="123E87AC" w14:textId="77777777" w:rsidR="00D9408C" w:rsidRDefault="00000000">
      <w:pPr>
        <w:ind w:left="216"/>
      </w:pPr>
      <w:r>
        <w:t>Construct a highly flexible, multi-purpose facility to serve as a civic and social anchor for South Monroe. The venue incorporates three primary program models:</w:t>
      </w:r>
      <w:r>
        <w:br/>
        <w:t>• Multi-Purpose Community Center: Features a subdivisible main banquet hall (seating 150–400), a warming/catering kitchen, 2–3 breakout meeting rooms, and an administrative office. This provides the most versatile option for social rentals, neighborhood meetings, and family milestone events.</w:t>
      </w:r>
      <w:r>
        <w:br/>
        <w:t>• Neighborhood Recreation &amp; Event Center: Combines a full-size gymnasium (which doubles as rental space for banquets, youth sports, or exposition booths) with adjoining activity rooms and outdoor patio space.</w:t>
      </w:r>
      <w:r>
        <w:br/>
        <w:t>• Cultural &amp; Arts Activity Center: Focuses on creative rentals, featuring a 100–250 seat black-box theater/auditorium, art studios, and a small gallery space that doubles as a reception hall.</w:t>
      </w:r>
      <w:r>
        <w:br/>
      </w:r>
      <w:r>
        <w:br/>
        <w:t>The SEDD will ultimately decide on the best location to serve the community. Infrastructure improvements will include roadway widening with curb and gutter, subsurface drainage, beautification, and well-lighted safe pedestrian walkways.</w:t>
      </w:r>
      <w:r>
        <w:br/>
      </w:r>
      <w:r>
        <w:br/>
        <w:t>*Legal &amp; Financial Structure Note: TIF funds will not be used for preliminary studies. The constructed facility will be either sold to a private entity or leased within statutory economic development limits, returning ongoing revenues to the district.</w:t>
      </w:r>
    </w:p>
    <w:p w14:paraId="03E784D0" w14:textId="77777777" w:rsidR="00D9408C" w:rsidRDefault="00000000">
      <w:pPr>
        <w:spacing w:after="200"/>
      </w:pPr>
      <w:r>
        <w:rPr>
          <w:b/>
          <w:color w:val="182B49"/>
        </w:rPr>
        <w:t>Site &amp; Infrastructure Specifications:</w:t>
      </w:r>
      <w:r>
        <w:rPr>
          <w:b/>
          <w:color w:val="182B49"/>
        </w:rPr>
        <w:br/>
      </w:r>
      <w:r>
        <w:t>Zoning: Varies Across SEDD | Flood Plain: Varies Across SEDD | Stormwater/Outfall: Available, Zero Impact Required</w:t>
      </w:r>
      <w:r>
        <w:br/>
        <w:t>Wetlands: To Be Determined per Site | Sewer: Available | Water: Available | Electrical: Available</w:t>
      </w:r>
      <w:r>
        <w:br/>
        <w:t>Vehicular Access: Available, Needs Improvement | Lighting: Required | Right of Way Acquisition: Not Required</w:t>
      </w:r>
    </w:p>
    <w:p w14:paraId="63DEE34C" w14:textId="77777777" w:rsidR="00D9408C" w:rsidRDefault="00000000">
      <w:pPr>
        <w:keepNext/>
        <w:spacing w:before="280" w:after="80"/>
      </w:pPr>
      <w:r>
        <w:rPr>
          <w:b/>
          <w:color w:val="008080"/>
          <w:sz w:val="24"/>
        </w:rPr>
        <w:t>6. Entertainment and Hospitality District (Desiard Street Corridor)</w:t>
      </w:r>
    </w:p>
    <w:p w14:paraId="78C2BC3D" w14:textId="77777777" w:rsidR="00D9408C" w:rsidRDefault="00000000">
      <w:pPr>
        <w:spacing w:after="80"/>
      </w:pPr>
      <w:r>
        <w:rPr>
          <w:b/>
        </w:rPr>
        <w:t xml:space="preserve">• Type of Development: </w:t>
      </w:r>
      <w:r>
        <w:t>Entertainment and Hospitality (District 3)</w:t>
      </w:r>
      <w:r>
        <w:br/>
      </w:r>
      <w:r>
        <w:rPr>
          <w:b/>
        </w:rPr>
        <w:t xml:space="preserve">• Total Estimated Cost: </w:t>
      </w:r>
      <w:r>
        <w:t>$100,000</w:t>
      </w:r>
      <w:r>
        <w:br/>
      </w:r>
      <w:r>
        <w:rPr>
          <w:b/>
        </w:rPr>
        <w:t xml:space="preserve">• SEDD TIF Phase 1 Allocation: </w:t>
      </w:r>
      <w:r>
        <w:t>$0 (Non-TIF Local Operating Funds)</w:t>
      </w:r>
      <w:r>
        <w:br/>
      </w:r>
      <w:r>
        <w:rPr>
          <w:b/>
        </w:rPr>
        <w:t xml:space="preserve">• External Co-Funding Target: </w:t>
      </w:r>
      <w:r>
        <w:t>$100,000 (District Operating Cash)</w:t>
      </w:r>
      <w:r>
        <w:br/>
      </w:r>
      <w:r>
        <w:br/>
      </w:r>
      <w:r>
        <w:rPr>
          <w:b/>
          <w:color w:val="182B49"/>
        </w:rPr>
        <w:t>Project Description &amp; Narrative:</w:t>
      </w:r>
      <w:r>
        <w:rPr>
          <w:b/>
          <w:color w:val="182B49"/>
        </w:rPr>
        <w:br/>
      </w:r>
    </w:p>
    <w:p w14:paraId="61BC63FF" w14:textId="77777777" w:rsidR="00D9408C" w:rsidRDefault="00000000">
      <w:pPr>
        <w:ind w:left="216"/>
      </w:pPr>
      <w:r>
        <w:t>Promote a Southside Entertainment District, including hospitality and recreation. Infrastructure improvements would include widening of roadways with curb and gutter, subsurface drainage improvements, beautification enhancements, and well-lighted safe pedestrian walkways on both sides of the streets with connectivity to other key places in the City.</w:t>
      </w:r>
      <w:r>
        <w:br/>
      </w:r>
      <w:r>
        <w:br/>
        <w:t>The areas of the SEDD along the Desiard Street Corridor between the University of Louisiana at Monroe (ULM) and the Historic Downtown District of Monroe should be explored to continue outward development and pedestrian connectivity where new restaurants and entertainment venues have recently been opened.</w:t>
      </w:r>
      <w:r>
        <w:br/>
      </w:r>
      <w:r>
        <w:br/>
        <w:t>*Funding Note: Preliminary feasibility studies for this district ($100,000) will be funded strictly through non-TIF district operating cash.</w:t>
      </w:r>
    </w:p>
    <w:p w14:paraId="135526F3" w14:textId="77777777" w:rsidR="00D9408C" w:rsidRDefault="00000000">
      <w:pPr>
        <w:spacing w:after="200"/>
      </w:pPr>
      <w:r>
        <w:rPr>
          <w:b/>
          <w:color w:val="182B49"/>
        </w:rPr>
        <w:t>Site &amp; Infrastructure Specifications:</w:t>
      </w:r>
      <w:r>
        <w:rPr>
          <w:b/>
          <w:color w:val="182B49"/>
        </w:rPr>
        <w:br/>
      </w:r>
      <w:r>
        <w:t>Zoning: Varies in SEDD | Flood Plain: Zone X | Stormwater/Outfall: Available</w:t>
      </w:r>
      <w:r>
        <w:br/>
        <w:t>Wetlands: Non-present | Sewer: Available | Water: Available | Electrical: Available</w:t>
      </w:r>
      <w:r>
        <w:br/>
        <w:t>Vehicular Access: Available, Needs Improvement | Lighting: Required | Right of Way Acquisition: Not Required</w:t>
      </w:r>
    </w:p>
    <w:p w14:paraId="44C3EEAD" w14:textId="77777777" w:rsidR="00D9408C" w:rsidRDefault="00000000">
      <w:pPr>
        <w:keepNext/>
        <w:pBdr>
          <w:bottom w:val="single" w:sz="12" w:space="4" w:color="182B49"/>
        </w:pBdr>
        <w:spacing w:before="360"/>
      </w:pPr>
      <w:r>
        <w:rPr>
          <w:b/>
          <w:color w:val="182B49"/>
          <w:sz w:val="30"/>
        </w:rPr>
        <w:t>Part IV: Comprehensive TIF Allocation &amp; Co-Funding Matrix</w:t>
      </w:r>
    </w:p>
    <w:tbl>
      <w:tblPr>
        <w:tblW w:w="0" w:type="auto"/>
        <w:jc w:val="center"/>
        <w:tblLook w:val="04A0" w:firstRow="1" w:lastRow="0" w:firstColumn="1" w:lastColumn="0" w:noHBand="0" w:noVBand="1"/>
      </w:tblPr>
      <w:tblGrid>
        <w:gridCol w:w="2592"/>
        <w:gridCol w:w="864"/>
        <w:gridCol w:w="1296"/>
        <w:gridCol w:w="1440"/>
        <w:gridCol w:w="1296"/>
        <w:gridCol w:w="1872"/>
      </w:tblGrid>
      <w:tr w:rsidR="00D9408C" w14:paraId="2FF2BB71" w14:textId="77777777">
        <w:trPr>
          <w:jc w:val="center"/>
        </w:trPr>
        <w:tc>
          <w:tcPr>
            <w:tcW w:w="2592" w:type="dxa"/>
            <w:tcBorders>
              <w:top w:val="single" w:sz="4" w:space="0" w:color="CCCCCC"/>
              <w:bottom w:val="single" w:sz="4" w:space="0" w:color="CCCCCC"/>
            </w:tcBorders>
            <w:shd w:val="clear" w:color="auto" w:fill="182B49"/>
            <w:tcMar>
              <w:top w:w="80" w:type="dxa"/>
              <w:left w:w="100" w:type="dxa"/>
              <w:bottom w:w="80" w:type="dxa"/>
              <w:right w:w="100" w:type="dxa"/>
            </w:tcMar>
          </w:tcPr>
          <w:p w14:paraId="2BA837BE" w14:textId="77777777" w:rsidR="00D9408C" w:rsidRDefault="00000000">
            <w:pPr>
              <w:spacing w:after="0" w:line="252" w:lineRule="auto"/>
            </w:pPr>
            <w:r>
              <w:rPr>
                <w:b/>
                <w:color w:val="FFFFFF"/>
                <w:sz w:val="17"/>
              </w:rPr>
              <w:t>Economic Development Project</w:t>
            </w:r>
          </w:p>
        </w:tc>
        <w:tc>
          <w:tcPr>
            <w:tcW w:w="864" w:type="dxa"/>
            <w:tcBorders>
              <w:top w:val="single" w:sz="4" w:space="0" w:color="CCCCCC"/>
              <w:bottom w:val="single" w:sz="4" w:space="0" w:color="CCCCCC"/>
            </w:tcBorders>
            <w:shd w:val="clear" w:color="auto" w:fill="182B49"/>
            <w:tcMar>
              <w:top w:w="80" w:type="dxa"/>
              <w:left w:w="100" w:type="dxa"/>
              <w:bottom w:w="80" w:type="dxa"/>
              <w:right w:w="100" w:type="dxa"/>
            </w:tcMar>
          </w:tcPr>
          <w:p w14:paraId="6F6F4624" w14:textId="77777777" w:rsidR="00D9408C" w:rsidRDefault="00000000">
            <w:pPr>
              <w:spacing w:after="0" w:line="252" w:lineRule="auto"/>
            </w:pPr>
            <w:r>
              <w:rPr>
                <w:b/>
                <w:color w:val="FFFFFF"/>
                <w:sz w:val="17"/>
              </w:rPr>
              <w:t>Dist.</w:t>
            </w:r>
          </w:p>
        </w:tc>
        <w:tc>
          <w:tcPr>
            <w:tcW w:w="1296" w:type="dxa"/>
            <w:tcBorders>
              <w:top w:val="single" w:sz="4" w:space="0" w:color="CCCCCC"/>
              <w:bottom w:val="single" w:sz="4" w:space="0" w:color="CCCCCC"/>
            </w:tcBorders>
            <w:shd w:val="clear" w:color="auto" w:fill="182B49"/>
            <w:tcMar>
              <w:top w:w="80" w:type="dxa"/>
              <w:left w:w="100" w:type="dxa"/>
              <w:bottom w:w="80" w:type="dxa"/>
              <w:right w:w="100" w:type="dxa"/>
            </w:tcMar>
          </w:tcPr>
          <w:p w14:paraId="1AE2D648" w14:textId="77777777" w:rsidR="00D9408C" w:rsidRDefault="00000000">
            <w:pPr>
              <w:spacing w:after="0" w:line="252" w:lineRule="auto"/>
            </w:pPr>
            <w:r>
              <w:rPr>
                <w:b/>
                <w:color w:val="FFFFFF"/>
                <w:sz w:val="17"/>
              </w:rPr>
              <w:t>Total Cost</w:t>
            </w:r>
          </w:p>
        </w:tc>
        <w:tc>
          <w:tcPr>
            <w:tcW w:w="1440" w:type="dxa"/>
            <w:tcBorders>
              <w:top w:val="single" w:sz="4" w:space="0" w:color="CCCCCC"/>
              <w:bottom w:val="single" w:sz="4" w:space="0" w:color="CCCCCC"/>
            </w:tcBorders>
            <w:shd w:val="clear" w:color="auto" w:fill="182B49"/>
            <w:tcMar>
              <w:top w:w="80" w:type="dxa"/>
              <w:left w:w="100" w:type="dxa"/>
              <w:bottom w:w="80" w:type="dxa"/>
              <w:right w:w="100" w:type="dxa"/>
            </w:tcMar>
          </w:tcPr>
          <w:p w14:paraId="0B433DBC" w14:textId="77777777" w:rsidR="00D9408C" w:rsidRDefault="00000000">
            <w:pPr>
              <w:spacing w:after="0" w:line="252" w:lineRule="auto"/>
            </w:pPr>
            <w:r>
              <w:rPr>
                <w:b/>
                <w:color w:val="FFFFFF"/>
                <w:sz w:val="17"/>
              </w:rPr>
              <w:t>SEDD TIF Allocation</w:t>
            </w:r>
          </w:p>
        </w:tc>
        <w:tc>
          <w:tcPr>
            <w:tcW w:w="1296" w:type="dxa"/>
            <w:tcBorders>
              <w:top w:val="single" w:sz="4" w:space="0" w:color="CCCCCC"/>
              <w:bottom w:val="single" w:sz="4" w:space="0" w:color="CCCCCC"/>
            </w:tcBorders>
            <w:shd w:val="clear" w:color="auto" w:fill="182B49"/>
            <w:tcMar>
              <w:top w:w="80" w:type="dxa"/>
              <w:left w:w="100" w:type="dxa"/>
              <w:bottom w:w="80" w:type="dxa"/>
              <w:right w:w="100" w:type="dxa"/>
            </w:tcMar>
          </w:tcPr>
          <w:p w14:paraId="2DA403E7" w14:textId="77777777" w:rsidR="00D9408C" w:rsidRDefault="00000000">
            <w:pPr>
              <w:spacing w:after="0" w:line="252" w:lineRule="auto"/>
            </w:pPr>
            <w:r>
              <w:rPr>
                <w:b/>
                <w:color w:val="FFFFFF"/>
                <w:sz w:val="17"/>
              </w:rPr>
              <w:t>External Target</w:t>
            </w:r>
          </w:p>
        </w:tc>
        <w:tc>
          <w:tcPr>
            <w:tcW w:w="1872" w:type="dxa"/>
            <w:tcBorders>
              <w:top w:val="single" w:sz="4" w:space="0" w:color="CCCCCC"/>
              <w:bottom w:val="single" w:sz="4" w:space="0" w:color="CCCCCC"/>
            </w:tcBorders>
            <w:shd w:val="clear" w:color="auto" w:fill="182B49"/>
            <w:tcMar>
              <w:top w:w="80" w:type="dxa"/>
              <w:left w:w="100" w:type="dxa"/>
              <w:bottom w:w="80" w:type="dxa"/>
              <w:right w:w="100" w:type="dxa"/>
            </w:tcMar>
          </w:tcPr>
          <w:p w14:paraId="08368E03" w14:textId="77777777" w:rsidR="00D9408C" w:rsidRDefault="00000000">
            <w:pPr>
              <w:spacing w:after="0" w:line="252" w:lineRule="auto"/>
            </w:pPr>
            <w:r>
              <w:rPr>
                <w:b/>
                <w:color w:val="FFFFFF"/>
                <w:sz w:val="17"/>
              </w:rPr>
              <w:t>Primary External Sources</w:t>
            </w:r>
          </w:p>
        </w:tc>
      </w:tr>
      <w:tr w:rsidR="00D9408C" w14:paraId="4CA22253" w14:textId="77777777">
        <w:trPr>
          <w:jc w:val="center"/>
        </w:trPr>
        <w:tc>
          <w:tcPr>
            <w:tcW w:w="2592" w:type="dxa"/>
            <w:tcBorders>
              <w:top w:val="single" w:sz="4" w:space="0" w:color="CCCCCC"/>
              <w:bottom w:val="single" w:sz="4" w:space="0" w:color="CCCCCC"/>
            </w:tcBorders>
            <w:shd w:val="clear" w:color="auto" w:fill="F9FBFD"/>
            <w:tcMar>
              <w:top w:w="80" w:type="dxa"/>
              <w:left w:w="100" w:type="dxa"/>
              <w:bottom w:w="80" w:type="dxa"/>
              <w:right w:w="100" w:type="dxa"/>
            </w:tcMar>
          </w:tcPr>
          <w:p w14:paraId="0E0DBA4A" w14:textId="77777777" w:rsidR="00D9408C" w:rsidRDefault="00000000">
            <w:pPr>
              <w:spacing w:after="0" w:line="252" w:lineRule="auto"/>
            </w:pPr>
            <w:r>
              <w:rPr>
                <w:sz w:val="16"/>
              </w:rPr>
              <w:t>LA Purchase Zoo Enhancements</w:t>
            </w:r>
          </w:p>
        </w:tc>
        <w:tc>
          <w:tcPr>
            <w:tcW w:w="864" w:type="dxa"/>
            <w:tcBorders>
              <w:top w:val="single" w:sz="4" w:space="0" w:color="CCCCCC"/>
              <w:bottom w:val="single" w:sz="4" w:space="0" w:color="CCCCCC"/>
            </w:tcBorders>
            <w:shd w:val="clear" w:color="auto" w:fill="F9FBFD"/>
            <w:tcMar>
              <w:top w:w="80" w:type="dxa"/>
              <w:left w:w="100" w:type="dxa"/>
              <w:bottom w:w="80" w:type="dxa"/>
              <w:right w:w="100" w:type="dxa"/>
            </w:tcMar>
          </w:tcPr>
          <w:p w14:paraId="3FB0735D" w14:textId="77777777" w:rsidR="00D9408C" w:rsidRDefault="00000000">
            <w:pPr>
              <w:spacing w:after="0" w:line="252" w:lineRule="auto"/>
            </w:pPr>
            <w:r>
              <w:rPr>
                <w:sz w:val="16"/>
              </w:rPr>
              <w:t>Dist 5</w:t>
            </w:r>
          </w:p>
        </w:tc>
        <w:tc>
          <w:tcPr>
            <w:tcW w:w="1296" w:type="dxa"/>
            <w:tcBorders>
              <w:top w:val="single" w:sz="4" w:space="0" w:color="CCCCCC"/>
              <w:bottom w:val="single" w:sz="4" w:space="0" w:color="CCCCCC"/>
            </w:tcBorders>
            <w:shd w:val="clear" w:color="auto" w:fill="F9FBFD"/>
            <w:tcMar>
              <w:top w:w="80" w:type="dxa"/>
              <w:left w:w="100" w:type="dxa"/>
              <w:bottom w:w="80" w:type="dxa"/>
              <w:right w:w="100" w:type="dxa"/>
            </w:tcMar>
          </w:tcPr>
          <w:p w14:paraId="6F467F63" w14:textId="77777777" w:rsidR="00D9408C" w:rsidRDefault="00000000">
            <w:pPr>
              <w:spacing w:after="0" w:line="252" w:lineRule="auto"/>
            </w:pPr>
            <w:r>
              <w:rPr>
                <w:sz w:val="16"/>
              </w:rPr>
              <w:t>$9,500,000</w:t>
            </w:r>
          </w:p>
        </w:tc>
        <w:tc>
          <w:tcPr>
            <w:tcW w:w="1440" w:type="dxa"/>
            <w:tcBorders>
              <w:top w:val="single" w:sz="4" w:space="0" w:color="CCCCCC"/>
              <w:bottom w:val="single" w:sz="4" w:space="0" w:color="CCCCCC"/>
            </w:tcBorders>
            <w:shd w:val="clear" w:color="auto" w:fill="F9FBFD"/>
            <w:tcMar>
              <w:top w:w="80" w:type="dxa"/>
              <w:left w:w="100" w:type="dxa"/>
              <w:bottom w:w="80" w:type="dxa"/>
              <w:right w:w="100" w:type="dxa"/>
            </w:tcMar>
          </w:tcPr>
          <w:p w14:paraId="7E91F98A" w14:textId="77777777" w:rsidR="00D9408C" w:rsidRDefault="00000000">
            <w:pPr>
              <w:spacing w:after="0" w:line="252" w:lineRule="auto"/>
            </w:pPr>
            <w:r>
              <w:rPr>
                <w:sz w:val="16"/>
              </w:rPr>
              <w:t>$9,500,000</w:t>
            </w:r>
          </w:p>
        </w:tc>
        <w:tc>
          <w:tcPr>
            <w:tcW w:w="1296" w:type="dxa"/>
            <w:tcBorders>
              <w:top w:val="single" w:sz="4" w:space="0" w:color="CCCCCC"/>
              <w:bottom w:val="single" w:sz="4" w:space="0" w:color="CCCCCC"/>
            </w:tcBorders>
            <w:shd w:val="clear" w:color="auto" w:fill="F9FBFD"/>
            <w:tcMar>
              <w:top w:w="80" w:type="dxa"/>
              <w:left w:w="100" w:type="dxa"/>
              <w:bottom w:w="80" w:type="dxa"/>
              <w:right w:w="100" w:type="dxa"/>
            </w:tcMar>
          </w:tcPr>
          <w:p w14:paraId="411F17A6" w14:textId="77777777" w:rsidR="00D9408C" w:rsidRDefault="00000000">
            <w:pPr>
              <w:spacing w:after="0" w:line="252" w:lineRule="auto"/>
            </w:pPr>
            <w:r>
              <w:rPr>
                <w:sz w:val="16"/>
              </w:rPr>
              <w:t>$0</w:t>
            </w:r>
          </w:p>
        </w:tc>
        <w:tc>
          <w:tcPr>
            <w:tcW w:w="1872" w:type="dxa"/>
            <w:tcBorders>
              <w:top w:val="single" w:sz="4" w:space="0" w:color="CCCCCC"/>
              <w:bottom w:val="single" w:sz="4" w:space="0" w:color="CCCCCC"/>
            </w:tcBorders>
            <w:shd w:val="clear" w:color="auto" w:fill="F9FBFD"/>
            <w:tcMar>
              <w:top w:w="80" w:type="dxa"/>
              <w:left w:w="100" w:type="dxa"/>
              <w:bottom w:w="80" w:type="dxa"/>
              <w:right w:w="100" w:type="dxa"/>
            </w:tcMar>
          </w:tcPr>
          <w:p w14:paraId="60DB002A" w14:textId="77777777" w:rsidR="00D9408C" w:rsidRDefault="00000000">
            <w:pPr>
              <w:spacing w:after="0" w:line="252" w:lineRule="auto"/>
            </w:pPr>
            <w:r>
              <w:rPr>
                <w:sz w:val="16"/>
              </w:rPr>
              <w:t>Fully Funded via Phase 1 TIF</w:t>
            </w:r>
          </w:p>
        </w:tc>
      </w:tr>
      <w:tr w:rsidR="00D9408C" w14:paraId="55702D69" w14:textId="77777777">
        <w:trPr>
          <w:jc w:val="center"/>
        </w:trPr>
        <w:tc>
          <w:tcPr>
            <w:tcW w:w="2592" w:type="dxa"/>
            <w:tcBorders>
              <w:top w:val="single" w:sz="4" w:space="0" w:color="CCCCCC"/>
              <w:bottom w:val="single" w:sz="4" w:space="0" w:color="CCCCCC"/>
            </w:tcBorders>
            <w:tcMar>
              <w:top w:w="80" w:type="dxa"/>
              <w:left w:w="100" w:type="dxa"/>
              <w:bottom w:w="80" w:type="dxa"/>
              <w:right w:w="100" w:type="dxa"/>
            </w:tcMar>
          </w:tcPr>
          <w:p w14:paraId="030BA68B" w14:textId="77777777" w:rsidR="00D9408C" w:rsidRDefault="00000000">
            <w:pPr>
              <w:spacing w:after="0" w:line="252" w:lineRule="auto"/>
            </w:pPr>
            <w:r>
              <w:rPr>
                <w:sz w:val="16"/>
              </w:rPr>
              <w:t>Renwick Business Corridor</w:t>
            </w:r>
          </w:p>
        </w:tc>
        <w:tc>
          <w:tcPr>
            <w:tcW w:w="864" w:type="dxa"/>
            <w:tcBorders>
              <w:top w:val="single" w:sz="4" w:space="0" w:color="CCCCCC"/>
              <w:bottom w:val="single" w:sz="4" w:space="0" w:color="CCCCCC"/>
            </w:tcBorders>
            <w:tcMar>
              <w:top w:w="80" w:type="dxa"/>
              <w:left w:w="100" w:type="dxa"/>
              <w:bottom w:w="80" w:type="dxa"/>
              <w:right w:w="100" w:type="dxa"/>
            </w:tcMar>
          </w:tcPr>
          <w:p w14:paraId="7100D48C" w14:textId="77777777" w:rsidR="00D9408C" w:rsidRDefault="00000000">
            <w:pPr>
              <w:spacing w:after="0" w:line="252" w:lineRule="auto"/>
            </w:pPr>
            <w:r>
              <w:rPr>
                <w:sz w:val="16"/>
              </w:rPr>
              <w:t>Dist 3</w:t>
            </w:r>
          </w:p>
        </w:tc>
        <w:tc>
          <w:tcPr>
            <w:tcW w:w="1296" w:type="dxa"/>
            <w:tcBorders>
              <w:top w:val="single" w:sz="4" w:space="0" w:color="CCCCCC"/>
              <w:bottom w:val="single" w:sz="4" w:space="0" w:color="CCCCCC"/>
            </w:tcBorders>
            <w:tcMar>
              <w:top w:w="80" w:type="dxa"/>
              <w:left w:w="100" w:type="dxa"/>
              <w:bottom w:w="80" w:type="dxa"/>
              <w:right w:w="100" w:type="dxa"/>
            </w:tcMar>
          </w:tcPr>
          <w:p w14:paraId="47E6E597" w14:textId="77777777" w:rsidR="00D9408C" w:rsidRDefault="00000000">
            <w:pPr>
              <w:spacing w:after="0" w:line="252" w:lineRule="auto"/>
            </w:pPr>
            <w:r>
              <w:rPr>
                <w:sz w:val="16"/>
              </w:rPr>
              <w:t>$9,935,000</w:t>
            </w:r>
          </w:p>
        </w:tc>
        <w:tc>
          <w:tcPr>
            <w:tcW w:w="1440" w:type="dxa"/>
            <w:tcBorders>
              <w:top w:val="single" w:sz="4" w:space="0" w:color="CCCCCC"/>
              <w:bottom w:val="single" w:sz="4" w:space="0" w:color="CCCCCC"/>
            </w:tcBorders>
            <w:tcMar>
              <w:top w:w="80" w:type="dxa"/>
              <w:left w:w="100" w:type="dxa"/>
              <w:bottom w:w="80" w:type="dxa"/>
              <w:right w:w="100" w:type="dxa"/>
            </w:tcMar>
          </w:tcPr>
          <w:p w14:paraId="00029D76" w14:textId="77777777" w:rsidR="00D9408C" w:rsidRDefault="00000000">
            <w:pPr>
              <w:spacing w:after="0" w:line="252" w:lineRule="auto"/>
            </w:pPr>
            <w:r>
              <w:rPr>
                <w:sz w:val="16"/>
              </w:rPr>
              <w:t>$5,000,000</w:t>
            </w:r>
          </w:p>
        </w:tc>
        <w:tc>
          <w:tcPr>
            <w:tcW w:w="1296" w:type="dxa"/>
            <w:tcBorders>
              <w:top w:val="single" w:sz="4" w:space="0" w:color="CCCCCC"/>
              <w:bottom w:val="single" w:sz="4" w:space="0" w:color="CCCCCC"/>
            </w:tcBorders>
            <w:tcMar>
              <w:top w:w="80" w:type="dxa"/>
              <w:left w:w="100" w:type="dxa"/>
              <w:bottom w:w="80" w:type="dxa"/>
              <w:right w:w="100" w:type="dxa"/>
            </w:tcMar>
          </w:tcPr>
          <w:p w14:paraId="7F5F75E7" w14:textId="77777777" w:rsidR="00D9408C" w:rsidRDefault="00000000">
            <w:pPr>
              <w:spacing w:after="0" w:line="252" w:lineRule="auto"/>
            </w:pPr>
            <w:r>
              <w:rPr>
                <w:sz w:val="16"/>
              </w:rPr>
              <w:t>$4,935,000</w:t>
            </w:r>
          </w:p>
        </w:tc>
        <w:tc>
          <w:tcPr>
            <w:tcW w:w="1872" w:type="dxa"/>
            <w:tcBorders>
              <w:top w:val="single" w:sz="4" w:space="0" w:color="CCCCCC"/>
              <w:bottom w:val="single" w:sz="4" w:space="0" w:color="CCCCCC"/>
            </w:tcBorders>
            <w:tcMar>
              <w:top w:w="80" w:type="dxa"/>
              <w:left w:w="100" w:type="dxa"/>
              <w:bottom w:w="80" w:type="dxa"/>
              <w:right w:w="100" w:type="dxa"/>
            </w:tcMar>
          </w:tcPr>
          <w:p w14:paraId="0C3B2E69" w14:textId="77777777" w:rsidR="00D9408C" w:rsidRDefault="00000000">
            <w:pPr>
              <w:spacing w:after="0" w:line="252" w:lineRule="auto"/>
            </w:pPr>
            <w:r>
              <w:rPr>
                <w:sz w:val="16"/>
              </w:rPr>
              <w:t>LA Capital Outlay / Federal EDA</w:t>
            </w:r>
          </w:p>
        </w:tc>
      </w:tr>
      <w:tr w:rsidR="00D9408C" w14:paraId="2AE3FE58" w14:textId="77777777">
        <w:trPr>
          <w:jc w:val="center"/>
        </w:trPr>
        <w:tc>
          <w:tcPr>
            <w:tcW w:w="2592" w:type="dxa"/>
            <w:tcBorders>
              <w:top w:val="single" w:sz="4" w:space="0" w:color="CCCCCC"/>
              <w:bottom w:val="single" w:sz="4" w:space="0" w:color="CCCCCC"/>
            </w:tcBorders>
            <w:shd w:val="clear" w:color="auto" w:fill="F9FBFD"/>
            <w:tcMar>
              <w:top w:w="80" w:type="dxa"/>
              <w:left w:w="100" w:type="dxa"/>
              <w:bottom w:w="80" w:type="dxa"/>
              <w:right w:w="100" w:type="dxa"/>
            </w:tcMar>
          </w:tcPr>
          <w:p w14:paraId="4B8B08FC" w14:textId="77777777" w:rsidR="00D9408C" w:rsidRDefault="00000000">
            <w:pPr>
              <w:spacing w:after="0" w:line="252" w:lineRule="auto"/>
            </w:pPr>
            <w:r>
              <w:rPr>
                <w:sz w:val="16"/>
              </w:rPr>
              <w:t>Safe Neighborhood Models</w:t>
            </w:r>
          </w:p>
        </w:tc>
        <w:tc>
          <w:tcPr>
            <w:tcW w:w="864" w:type="dxa"/>
            <w:tcBorders>
              <w:top w:val="single" w:sz="4" w:space="0" w:color="CCCCCC"/>
              <w:bottom w:val="single" w:sz="4" w:space="0" w:color="CCCCCC"/>
            </w:tcBorders>
            <w:shd w:val="clear" w:color="auto" w:fill="F9FBFD"/>
            <w:tcMar>
              <w:top w:w="80" w:type="dxa"/>
              <w:left w:w="100" w:type="dxa"/>
              <w:bottom w:w="80" w:type="dxa"/>
              <w:right w:w="100" w:type="dxa"/>
            </w:tcMar>
          </w:tcPr>
          <w:p w14:paraId="2FE47E58" w14:textId="77777777" w:rsidR="00D9408C" w:rsidRDefault="00000000">
            <w:pPr>
              <w:spacing w:after="0" w:line="252" w:lineRule="auto"/>
            </w:pPr>
            <w:r>
              <w:rPr>
                <w:sz w:val="16"/>
              </w:rPr>
              <w:t>Dist 3,4,5</w:t>
            </w:r>
          </w:p>
        </w:tc>
        <w:tc>
          <w:tcPr>
            <w:tcW w:w="1296" w:type="dxa"/>
            <w:tcBorders>
              <w:top w:val="single" w:sz="4" w:space="0" w:color="CCCCCC"/>
              <w:bottom w:val="single" w:sz="4" w:space="0" w:color="CCCCCC"/>
            </w:tcBorders>
            <w:shd w:val="clear" w:color="auto" w:fill="F9FBFD"/>
            <w:tcMar>
              <w:top w:w="80" w:type="dxa"/>
              <w:left w:w="100" w:type="dxa"/>
              <w:bottom w:w="80" w:type="dxa"/>
              <w:right w:w="100" w:type="dxa"/>
            </w:tcMar>
          </w:tcPr>
          <w:p w14:paraId="6BCFC4CA" w14:textId="77777777" w:rsidR="00D9408C" w:rsidRDefault="00000000">
            <w:pPr>
              <w:spacing w:after="0" w:line="252" w:lineRule="auto"/>
            </w:pPr>
            <w:r>
              <w:rPr>
                <w:sz w:val="16"/>
              </w:rPr>
              <w:t>$21,050,000</w:t>
            </w:r>
          </w:p>
        </w:tc>
        <w:tc>
          <w:tcPr>
            <w:tcW w:w="1440" w:type="dxa"/>
            <w:tcBorders>
              <w:top w:val="single" w:sz="4" w:space="0" w:color="CCCCCC"/>
              <w:bottom w:val="single" w:sz="4" w:space="0" w:color="CCCCCC"/>
            </w:tcBorders>
            <w:shd w:val="clear" w:color="auto" w:fill="F9FBFD"/>
            <w:tcMar>
              <w:top w:w="80" w:type="dxa"/>
              <w:left w:w="100" w:type="dxa"/>
              <w:bottom w:w="80" w:type="dxa"/>
              <w:right w:w="100" w:type="dxa"/>
            </w:tcMar>
          </w:tcPr>
          <w:p w14:paraId="1CBD7CE2" w14:textId="77777777" w:rsidR="00D9408C" w:rsidRDefault="00000000">
            <w:pPr>
              <w:spacing w:after="0" w:line="252" w:lineRule="auto"/>
            </w:pPr>
            <w:r>
              <w:rPr>
                <w:sz w:val="16"/>
              </w:rPr>
              <w:t>$6,500,000</w:t>
            </w:r>
          </w:p>
        </w:tc>
        <w:tc>
          <w:tcPr>
            <w:tcW w:w="1296" w:type="dxa"/>
            <w:tcBorders>
              <w:top w:val="single" w:sz="4" w:space="0" w:color="CCCCCC"/>
              <w:bottom w:val="single" w:sz="4" w:space="0" w:color="CCCCCC"/>
            </w:tcBorders>
            <w:shd w:val="clear" w:color="auto" w:fill="F9FBFD"/>
            <w:tcMar>
              <w:top w:w="80" w:type="dxa"/>
              <w:left w:w="100" w:type="dxa"/>
              <w:bottom w:w="80" w:type="dxa"/>
              <w:right w:w="100" w:type="dxa"/>
            </w:tcMar>
          </w:tcPr>
          <w:p w14:paraId="2C6CBB8D" w14:textId="77777777" w:rsidR="00D9408C" w:rsidRDefault="00000000">
            <w:pPr>
              <w:spacing w:after="0" w:line="252" w:lineRule="auto"/>
            </w:pPr>
            <w:r>
              <w:rPr>
                <w:sz w:val="16"/>
              </w:rPr>
              <w:t>$14,550,000</w:t>
            </w:r>
          </w:p>
        </w:tc>
        <w:tc>
          <w:tcPr>
            <w:tcW w:w="1872" w:type="dxa"/>
            <w:tcBorders>
              <w:top w:val="single" w:sz="4" w:space="0" w:color="CCCCCC"/>
              <w:bottom w:val="single" w:sz="4" w:space="0" w:color="CCCCCC"/>
            </w:tcBorders>
            <w:shd w:val="clear" w:color="auto" w:fill="F9FBFD"/>
            <w:tcMar>
              <w:top w:w="80" w:type="dxa"/>
              <w:left w:w="100" w:type="dxa"/>
              <w:bottom w:w="80" w:type="dxa"/>
              <w:right w:w="100" w:type="dxa"/>
            </w:tcMar>
          </w:tcPr>
          <w:p w14:paraId="6263D4B5" w14:textId="77777777" w:rsidR="00D9408C" w:rsidRDefault="00000000">
            <w:pPr>
              <w:spacing w:after="0" w:line="252" w:lineRule="auto"/>
            </w:pPr>
            <w:r>
              <w:rPr>
                <w:sz w:val="16"/>
              </w:rPr>
              <w:t>Public-Private Partnerships / HUD</w:t>
            </w:r>
          </w:p>
        </w:tc>
      </w:tr>
      <w:tr w:rsidR="00D9408C" w14:paraId="4C82A41B" w14:textId="77777777">
        <w:trPr>
          <w:jc w:val="center"/>
        </w:trPr>
        <w:tc>
          <w:tcPr>
            <w:tcW w:w="2592" w:type="dxa"/>
            <w:tcBorders>
              <w:top w:val="single" w:sz="4" w:space="0" w:color="CCCCCC"/>
              <w:bottom w:val="single" w:sz="4" w:space="0" w:color="CCCCCC"/>
            </w:tcBorders>
            <w:tcMar>
              <w:top w:w="80" w:type="dxa"/>
              <w:left w:w="100" w:type="dxa"/>
              <w:bottom w:w="80" w:type="dxa"/>
              <w:right w:w="100" w:type="dxa"/>
            </w:tcMar>
          </w:tcPr>
          <w:p w14:paraId="07A1409A" w14:textId="77777777" w:rsidR="00D9408C" w:rsidRDefault="00000000">
            <w:pPr>
              <w:spacing w:after="0" w:line="252" w:lineRule="auto"/>
            </w:pPr>
            <w:r>
              <w:rPr>
                <w:sz w:val="16"/>
              </w:rPr>
              <w:t>Industrial / Distribution Infra.</w:t>
            </w:r>
          </w:p>
        </w:tc>
        <w:tc>
          <w:tcPr>
            <w:tcW w:w="864" w:type="dxa"/>
            <w:tcBorders>
              <w:top w:val="single" w:sz="4" w:space="0" w:color="CCCCCC"/>
              <w:bottom w:val="single" w:sz="4" w:space="0" w:color="CCCCCC"/>
            </w:tcBorders>
            <w:tcMar>
              <w:top w:w="80" w:type="dxa"/>
              <w:left w:w="100" w:type="dxa"/>
              <w:bottom w:w="80" w:type="dxa"/>
              <w:right w:w="100" w:type="dxa"/>
            </w:tcMar>
          </w:tcPr>
          <w:p w14:paraId="50380420" w14:textId="77777777" w:rsidR="00D9408C" w:rsidRDefault="00000000">
            <w:pPr>
              <w:spacing w:after="0" w:line="252" w:lineRule="auto"/>
            </w:pPr>
            <w:r>
              <w:rPr>
                <w:sz w:val="16"/>
              </w:rPr>
              <w:t>Dist 5</w:t>
            </w:r>
          </w:p>
        </w:tc>
        <w:tc>
          <w:tcPr>
            <w:tcW w:w="1296" w:type="dxa"/>
            <w:tcBorders>
              <w:top w:val="single" w:sz="4" w:space="0" w:color="CCCCCC"/>
              <w:bottom w:val="single" w:sz="4" w:space="0" w:color="CCCCCC"/>
            </w:tcBorders>
            <w:tcMar>
              <w:top w:w="80" w:type="dxa"/>
              <w:left w:w="100" w:type="dxa"/>
              <w:bottom w:w="80" w:type="dxa"/>
              <w:right w:w="100" w:type="dxa"/>
            </w:tcMar>
          </w:tcPr>
          <w:p w14:paraId="1003119A" w14:textId="77777777" w:rsidR="00D9408C" w:rsidRDefault="00000000">
            <w:pPr>
              <w:spacing w:after="0" w:line="252" w:lineRule="auto"/>
            </w:pPr>
            <w:r>
              <w:rPr>
                <w:sz w:val="16"/>
              </w:rPr>
              <w:t>$22,650,000</w:t>
            </w:r>
          </w:p>
        </w:tc>
        <w:tc>
          <w:tcPr>
            <w:tcW w:w="1440" w:type="dxa"/>
            <w:tcBorders>
              <w:top w:val="single" w:sz="4" w:space="0" w:color="CCCCCC"/>
              <w:bottom w:val="single" w:sz="4" w:space="0" w:color="CCCCCC"/>
            </w:tcBorders>
            <w:tcMar>
              <w:top w:w="80" w:type="dxa"/>
              <w:left w:w="100" w:type="dxa"/>
              <w:bottom w:w="80" w:type="dxa"/>
              <w:right w:w="100" w:type="dxa"/>
            </w:tcMar>
          </w:tcPr>
          <w:p w14:paraId="60C6E97B" w14:textId="77777777" w:rsidR="00D9408C" w:rsidRDefault="00000000">
            <w:pPr>
              <w:spacing w:after="0" w:line="252" w:lineRule="auto"/>
            </w:pPr>
            <w:r>
              <w:rPr>
                <w:sz w:val="16"/>
              </w:rPr>
              <w:t>$4,000,000</w:t>
            </w:r>
          </w:p>
        </w:tc>
        <w:tc>
          <w:tcPr>
            <w:tcW w:w="1296" w:type="dxa"/>
            <w:tcBorders>
              <w:top w:val="single" w:sz="4" w:space="0" w:color="CCCCCC"/>
              <w:bottom w:val="single" w:sz="4" w:space="0" w:color="CCCCCC"/>
            </w:tcBorders>
            <w:tcMar>
              <w:top w:w="80" w:type="dxa"/>
              <w:left w:w="100" w:type="dxa"/>
              <w:bottom w:w="80" w:type="dxa"/>
              <w:right w:w="100" w:type="dxa"/>
            </w:tcMar>
          </w:tcPr>
          <w:p w14:paraId="49F7F7CA" w14:textId="77777777" w:rsidR="00D9408C" w:rsidRDefault="00000000">
            <w:pPr>
              <w:spacing w:after="0" w:line="252" w:lineRule="auto"/>
            </w:pPr>
            <w:r>
              <w:rPr>
                <w:sz w:val="16"/>
              </w:rPr>
              <w:t>$18,650,000</w:t>
            </w:r>
          </w:p>
        </w:tc>
        <w:tc>
          <w:tcPr>
            <w:tcW w:w="1872" w:type="dxa"/>
            <w:tcBorders>
              <w:top w:val="single" w:sz="4" w:space="0" w:color="CCCCCC"/>
              <w:bottom w:val="single" w:sz="4" w:space="0" w:color="CCCCCC"/>
            </w:tcBorders>
            <w:tcMar>
              <w:top w:w="80" w:type="dxa"/>
              <w:left w:w="100" w:type="dxa"/>
              <w:bottom w:w="80" w:type="dxa"/>
              <w:right w:w="100" w:type="dxa"/>
            </w:tcMar>
          </w:tcPr>
          <w:p w14:paraId="48E9CDA2" w14:textId="77777777" w:rsidR="00D9408C" w:rsidRDefault="00000000">
            <w:pPr>
              <w:spacing w:after="0" w:line="252" w:lineRule="auto"/>
            </w:pPr>
            <w:r>
              <w:rPr>
                <w:sz w:val="16"/>
              </w:rPr>
              <w:t>Federal DOTD / EDA / LA LED</w:t>
            </w:r>
          </w:p>
        </w:tc>
      </w:tr>
      <w:tr w:rsidR="00D9408C" w14:paraId="61174C3C" w14:textId="77777777">
        <w:trPr>
          <w:jc w:val="center"/>
        </w:trPr>
        <w:tc>
          <w:tcPr>
            <w:tcW w:w="2592" w:type="dxa"/>
            <w:tcBorders>
              <w:top w:val="single" w:sz="4" w:space="0" w:color="CCCCCC"/>
              <w:bottom w:val="single" w:sz="4" w:space="0" w:color="CCCCCC"/>
            </w:tcBorders>
            <w:shd w:val="clear" w:color="auto" w:fill="F9FBFD"/>
            <w:tcMar>
              <w:top w:w="80" w:type="dxa"/>
              <w:left w:w="100" w:type="dxa"/>
              <w:bottom w:w="80" w:type="dxa"/>
              <w:right w:w="100" w:type="dxa"/>
            </w:tcMar>
          </w:tcPr>
          <w:p w14:paraId="4ADE7AFF" w14:textId="77777777" w:rsidR="00D9408C" w:rsidRDefault="00000000">
            <w:pPr>
              <w:spacing w:after="0" w:line="252" w:lineRule="auto"/>
            </w:pPr>
            <w:r>
              <w:rPr>
                <w:sz w:val="16"/>
              </w:rPr>
              <w:t>Multi-Purpose Event Center</w:t>
            </w:r>
          </w:p>
        </w:tc>
        <w:tc>
          <w:tcPr>
            <w:tcW w:w="864" w:type="dxa"/>
            <w:tcBorders>
              <w:top w:val="single" w:sz="4" w:space="0" w:color="CCCCCC"/>
              <w:bottom w:val="single" w:sz="4" w:space="0" w:color="CCCCCC"/>
            </w:tcBorders>
            <w:shd w:val="clear" w:color="auto" w:fill="F9FBFD"/>
            <w:tcMar>
              <w:top w:w="80" w:type="dxa"/>
              <w:left w:w="100" w:type="dxa"/>
              <w:bottom w:w="80" w:type="dxa"/>
              <w:right w:w="100" w:type="dxa"/>
            </w:tcMar>
          </w:tcPr>
          <w:p w14:paraId="542164A6" w14:textId="77777777" w:rsidR="00D9408C" w:rsidRDefault="00000000">
            <w:pPr>
              <w:spacing w:after="0" w:line="252" w:lineRule="auto"/>
            </w:pPr>
            <w:r>
              <w:rPr>
                <w:sz w:val="16"/>
              </w:rPr>
              <w:t>SEDD</w:t>
            </w:r>
          </w:p>
        </w:tc>
        <w:tc>
          <w:tcPr>
            <w:tcW w:w="1296" w:type="dxa"/>
            <w:tcBorders>
              <w:top w:val="single" w:sz="4" w:space="0" w:color="CCCCCC"/>
              <w:bottom w:val="single" w:sz="4" w:space="0" w:color="CCCCCC"/>
            </w:tcBorders>
            <w:shd w:val="clear" w:color="auto" w:fill="F9FBFD"/>
            <w:tcMar>
              <w:top w:w="80" w:type="dxa"/>
              <w:left w:w="100" w:type="dxa"/>
              <w:bottom w:w="80" w:type="dxa"/>
              <w:right w:w="100" w:type="dxa"/>
            </w:tcMar>
          </w:tcPr>
          <w:p w14:paraId="201F103E" w14:textId="77777777" w:rsidR="00D9408C" w:rsidRDefault="00000000">
            <w:pPr>
              <w:spacing w:after="0" w:line="252" w:lineRule="auto"/>
            </w:pPr>
            <w:r>
              <w:rPr>
                <w:sz w:val="16"/>
              </w:rPr>
              <w:t>$5,000,000</w:t>
            </w:r>
          </w:p>
        </w:tc>
        <w:tc>
          <w:tcPr>
            <w:tcW w:w="1440" w:type="dxa"/>
            <w:tcBorders>
              <w:top w:val="single" w:sz="4" w:space="0" w:color="CCCCCC"/>
              <w:bottom w:val="single" w:sz="4" w:space="0" w:color="CCCCCC"/>
            </w:tcBorders>
            <w:shd w:val="clear" w:color="auto" w:fill="F9FBFD"/>
            <w:tcMar>
              <w:top w:w="80" w:type="dxa"/>
              <w:left w:w="100" w:type="dxa"/>
              <w:bottom w:w="80" w:type="dxa"/>
              <w:right w:w="100" w:type="dxa"/>
            </w:tcMar>
          </w:tcPr>
          <w:p w14:paraId="62BEEF7E" w14:textId="77777777" w:rsidR="00D9408C" w:rsidRDefault="00000000">
            <w:pPr>
              <w:spacing w:after="0" w:line="252" w:lineRule="auto"/>
            </w:pPr>
            <w:r>
              <w:rPr>
                <w:sz w:val="16"/>
              </w:rPr>
              <w:t>$5,000,000</w:t>
            </w:r>
          </w:p>
        </w:tc>
        <w:tc>
          <w:tcPr>
            <w:tcW w:w="1296" w:type="dxa"/>
            <w:tcBorders>
              <w:top w:val="single" w:sz="4" w:space="0" w:color="CCCCCC"/>
              <w:bottom w:val="single" w:sz="4" w:space="0" w:color="CCCCCC"/>
            </w:tcBorders>
            <w:shd w:val="clear" w:color="auto" w:fill="F9FBFD"/>
            <w:tcMar>
              <w:top w:w="80" w:type="dxa"/>
              <w:left w:w="100" w:type="dxa"/>
              <w:bottom w:w="80" w:type="dxa"/>
              <w:right w:w="100" w:type="dxa"/>
            </w:tcMar>
          </w:tcPr>
          <w:p w14:paraId="51F68DDD" w14:textId="77777777" w:rsidR="00D9408C" w:rsidRDefault="00000000">
            <w:pPr>
              <w:spacing w:after="0" w:line="252" w:lineRule="auto"/>
            </w:pPr>
            <w:r>
              <w:rPr>
                <w:sz w:val="16"/>
              </w:rPr>
              <w:t>$0</w:t>
            </w:r>
          </w:p>
        </w:tc>
        <w:tc>
          <w:tcPr>
            <w:tcW w:w="1872" w:type="dxa"/>
            <w:tcBorders>
              <w:top w:val="single" w:sz="4" w:space="0" w:color="CCCCCC"/>
              <w:bottom w:val="single" w:sz="4" w:space="0" w:color="CCCCCC"/>
            </w:tcBorders>
            <w:shd w:val="clear" w:color="auto" w:fill="F9FBFD"/>
            <w:tcMar>
              <w:top w:w="80" w:type="dxa"/>
              <w:left w:w="100" w:type="dxa"/>
              <w:bottom w:w="80" w:type="dxa"/>
              <w:right w:w="100" w:type="dxa"/>
            </w:tcMar>
          </w:tcPr>
          <w:p w14:paraId="7AAD2FFF" w14:textId="77777777" w:rsidR="00D9408C" w:rsidRDefault="00000000">
            <w:pPr>
              <w:spacing w:after="0" w:line="252" w:lineRule="auto"/>
            </w:pPr>
            <w:r>
              <w:rPr>
                <w:sz w:val="16"/>
              </w:rPr>
              <w:t>Fully Funded via Phase 1 TIF</w:t>
            </w:r>
          </w:p>
        </w:tc>
      </w:tr>
      <w:tr w:rsidR="00D9408C" w14:paraId="382CF2BD" w14:textId="77777777">
        <w:trPr>
          <w:jc w:val="center"/>
        </w:trPr>
        <w:tc>
          <w:tcPr>
            <w:tcW w:w="2592" w:type="dxa"/>
            <w:tcBorders>
              <w:top w:val="single" w:sz="4" w:space="0" w:color="CCCCCC"/>
              <w:bottom w:val="single" w:sz="4" w:space="0" w:color="CCCCCC"/>
            </w:tcBorders>
            <w:tcMar>
              <w:top w:w="80" w:type="dxa"/>
              <w:left w:w="100" w:type="dxa"/>
              <w:bottom w:w="80" w:type="dxa"/>
              <w:right w:w="100" w:type="dxa"/>
            </w:tcMar>
          </w:tcPr>
          <w:p w14:paraId="55D48AB6" w14:textId="77777777" w:rsidR="00D9408C" w:rsidRDefault="00000000">
            <w:pPr>
              <w:spacing w:after="0" w:line="252" w:lineRule="auto"/>
            </w:pPr>
            <w:r>
              <w:rPr>
                <w:sz w:val="16"/>
              </w:rPr>
              <w:t>Entertainment District Study</w:t>
            </w:r>
          </w:p>
        </w:tc>
        <w:tc>
          <w:tcPr>
            <w:tcW w:w="864" w:type="dxa"/>
            <w:tcBorders>
              <w:top w:val="single" w:sz="4" w:space="0" w:color="CCCCCC"/>
              <w:bottom w:val="single" w:sz="4" w:space="0" w:color="CCCCCC"/>
            </w:tcBorders>
            <w:tcMar>
              <w:top w:w="80" w:type="dxa"/>
              <w:left w:w="100" w:type="dxa"/>
              <w:bottom w:w="80" w:type="dxa"/>
              <w:right w:w="100" w:type="dxa"/>
            </w:tcMar>
          </w:tcPr>
          <w:p w14:paraId="55DA5E0E" w14:textId="77777777" w:rsidR="00D9408C" w:rsidRDefault="00000000">
            <w:pPr>
              <w:spacing w:after="0" w:line="252" w:lineRule="auto"/>
            </w:pPr>
            <w:r>
              <w:rPr>
                <w:sz w:val="16"/>
              </w:rPr>
              <w:t>Dist 3</w:t>
            </w:r>
          </w:p>
        </w:tc>
        <w:tc>
          <w:tcPr>
            <w:tcW w:w="1296" w:type="dxa"/>
            <w:tcBorders>
              <w:top w:val="single" w:sz="4" w:space="0" w:color="CCCCCC"/>
              <w:bottom w:val="single" w:sz="4" w:space="0" w:color="CCCCCC"/>
            </w:tcBorders>
            <w:tcMar>
              <w:top w:w="80" w:type="dxa"/>
              <w:left w:w="100" w:type="dxa"/>
              <w:bottom w:w="80" w:type="dxa"/>
              <w:right w:w="100" w:type="dxa"/>
            </w:tcMar>
          </w:tcPr>
          <w:p w14:paraId="3557152E" w14:textId="77777777" w:rsidR="00D9408C" w:rsidRDefault="00000000">
            <w:pPr>
              <w:spacing w:after="0" w:line="252" w:lineRule="auto"/>
            </w:pPr>
            <w:r>
              <w:rPr>
                <w:sz w:val="16"/>
              </w:rPr>
              <w:t>$100,000</w:t>
            </w:r>
          </w:p>
        </w:tc>
        <w:tc>
          <w:tcPr>
            <w:tcW w:w="1440" w:type="dxa"/>
            <w:tcBorders>
              <w:top w:val="single" w:sz="4" w:space="0" w:color="CCCCCC"/>
              <w:bottom w:val="single" w:sz="4" w:space="0" w:color="CCCCCC"/>
            </w:tcBorders>
            <w:tcMar>
              <w:top w:w="80" w:type="dxa"/>
              <w:left w:w="100" w:type="dxa"/>
              <w:bottom w:w="80" w:type="dxa"/>
              <w:right w:w="100" w:type="dxa"/>
            </w:tcMar>
          </w:tcPr>
          <w:p w14:paraId="68D4543C" w14:textId="77777777" w:rsidR="00D9408C" w:rsidRDefault="00000000">
            <w:pPr>
              <w:spacing w:after="0" w:line="252" w:lineRule="auto"/>
            </w:pPr>
            <w:r>
              <w:rPr>
                <w:sz w:val="16"/>
              </w:rPr>
              <w:t>$0</w:t>
            </w:r>
          </w:p>
        </w:tc>
        <w:tc>
          <w:tcPr>
            <w:tcW w:w="1296" w:type="dxa"/>
            <w:tcBorders>
              <w:top w:val="single" w:sz="4" w:space="0" w:color="CCCCCC"/>
              <w:bottom w:val="single" w:sz="4" w:space="0" w:color="CCCCCC"/>
            </w:tcBorders>
            <w:tcMar>
              <w:top w:w="80" w:type="dxa"/>
              <w:left w:w="100" w:type="dxa"/>
              <w:bottom w:w="80" w:type="dxa"/>
              <w:right w:w="100" w:type="dxa"/>
            </w:tcMar>
          </w:tcPr>
          <w:p w14:paraId="34B0696C" w14:textId="77777777" w:rsidR="00D9408C" w:rsidRDefault="00000000">
            <w:pPr>
              <w:spacing w:after="0" w:line="252" w:lineRule="auto"/>
            </w:pPr>
            <w:r>
              <w:rPr>
                <w:sz w:val="16"/>
              </w:rPr>
              <w:t>$100,000</w:t>
            </w:r>
          </w:p>
        </w:tc>
        <w:tc>
          <w:tcPr>
            <w:tcW w:w="1872" w:type="dxa"/>
            <w:tcBorders>
              <w:top w:val="single" w:sz="4" w:space="0" w:color="CCCCCC"/>
              <w:bottom w:val="single" w:sz="4" w:space="0" w:color="CCCCCC"/>
            </w:tcBorders>
            <w:tcMar>
              <w:top w:w="80" w:type="dxa"/>
              <w:left w:w="100" w:type="dxa"/>
              <w:bottom w:w="80" w:type="dxa"/>
              <w:right w:w="100" w:type="dxa"/>
            </w:tcMar>
          </w:tcPr>
          <w:p w14:paraId="6EC93617" w14:textId="77777777" w:rsidR="00D9408C" w:rsidRDefault="00000000">
            <w:pPr>
              <w:spacing w:after="0" w:line="252" w:lineRule="auto"/>
            </w:pPr>
            <w:r>
              <w:rPr>
                <w:sz w:val="16"/>
              </w:rPr>
              <w:t>District Local Operating Funds</w:t>
            </w:r>
          </w:p>
        </w:tc>
      </w:tr>
      <w:tr w:rsidR="00D9408C" w14:paraId="54F492E5" w14:textId="77777777">
        <w:trPr>
          <w:jc w:val="center"/>
        </w:trPr>
        <w:tc>
          <w:tcPr>
            <w:tcW w:w="2592" w:type="dxa"/>
            <w:tcBorders>
              <w:top w:val="single" w:sz="4" w:space="0" w:color="CCCCCC"/>
              <w:bottom w:val="single" w:sz="4" w:space="0" w:color="CCCCCC"/>
            </w:tcBorders>
            <w:shd w:val="clear" w:color="auto" w:fill="E6ECF2"/>
            <w:tcMar>
              <w:top w:w="80" w:type="dxa"/>
              <w:left w:w="100" w:type="dxa"/>
              <w:bottom w:w="80" w:type="dxa"/>
              <w:right w:w="100" w:type="dxa"/>
            </w:tcMar>
          </w:tcPr>
          <w:p w14:paraId="2F69032B" w14:textId="77777777" w:rsidR="00D9408C" w:rsidRDefault="00000000">
            <w:pPr>
              <w:spacing w:after="0" w:line="252" w:lineRule="auto"/>
            </w:pPr>
            <w:r>
              <w:rPr>
                <w:b/>
                <w:color w:val="182B49"/>
                <w:sz w:val="17"/>
              </w:rPr>
              <w:t>TOTAL PROGRAM COSTS</w:t>
            </w:r>
          </w:p>
        </w:tc>
        <w:tc>
          <w:tcPr>
            <w:tcW w:w="864" w:type="dxa"/>
            <w:tcBorders>
              <w:top w:val="single" w:sz="4" w:space="0" w:color="CCCCCC"/>
              <w:bottom w:val="single" w:sz="4" w:space="0" w:color="CCCCCC"/>
            </w:tcBorders>
            <w:shd w:val="clear" w:color="auto" w:fill="E6ECF2"/>
            <w:tcMar>
              <w:top w:w="80" w:type="dxa"/>
              <w:left w:w="100" w:type="dxa"/>
              <w:bottom w:w="80" w:type="dxa"/>
              <w:right w:w="100" w:type="dxa"/>
            </w:tcMar>
          </w:tcPr>
          <w:p w14:paraId="6AAB5F89" w14:textId="77777777" w:rsidR="00D9408C" w:rsidRDefault="00000000">
            <w:pPr>
              <w:spacing w:after="0" w:line="252" w:lineRule="auto"/>
            </w:pPr>
            <w:r>
              <w:rPr>
                <w:b/>
                <w:color w:val="182B49"/>
                <w:sz w:val="17"/>
              </w:rPr>
              <w:t>All</w:t>
            </w:r>
          </w:p>
        </w:tc>
        <w:tc>
          <w:tcPr>
            <w:tcW w:w="1296" w:type="dxa"/>
            <w:tcBorders>
              <w:top w:val="single" w:sz="4" w:space="0" w:color="CCCCCC"/>
              <w:bottom w:val="single" w:sz="4" w:space="0" w:color="CCCCCC"/>
            </w:tcBorders>
            <w:shd w:val="clear" w:color="auto" w:fill="E6ECF2"/>
            <w:tcMar>
              <w:top w:w="80" w:type="dxa"/>
              <w:left w:w="100" w:type="dxa"/>
              <w:bottom w:w="80" w:type="dxa"/>
              <w:right w:w="100" w:type="dxa"/>
            </w:tcMar>
          </w:tcPr>
          <w:p w14:paraId="4B7CFF95" w14:textId="77777777" w:rsidR="00D9408C" w:rsidRDefault="00000000">
            <w:pPr>
              <w:spacing w:after="0" w:line="252" w:lineRule="auto"/>
            </w:pPr>
            <w:r>
              <w:rPr>
                <w:b/>
                <w:color w:val="182B49"/>
                <w:sz w:val="17"/>
              </w:rPr>
              <w:t>$68,235,000</w:t>
            </w:r>
          </w:p>
        </w:tc>
        <w:tc>
          <w:tcPr>
            <w:tcW w:w="1440" w:type="dxa"/>
            <w:tcBorders>
              <w:top w:val="single" w:sz="4" w:space="0" w:color="CCCCCC"/>
              <w:bottom w:val="single" w:sz="4" w:space="0" w:color="CCCCCC"/>
            </w:tcBorders>
            <w:shd w:val="clear" w:color="auto" w:fill="E6ECF2"/>
            <w:tcMar>
              <w:top w:w="80" w:type="dxa"/>
              <w:left w:w="100" w:type="dxa"/>
              <w:bottom w:w="80" w:type="dxa"/>
              <w:right w:w="100" w:type="dxa"/>
            </w:tcMar>
          </w:tcPr>
          <w:p w14:paraId="1565D7CA" w14:textId="77777777" w:rsidR="00D9408C" w:rsidRDefault="00000000">
            <w:pPr>
              <w:spacing w:after="0" w:line="252" w:lineRule="auto"/>
            </w:pPr>
            <w:r>
              <w:rPr>
                <w:b/>
                <w:color w:val="182B49"/>
                <w:sz w:val="17"/>
              </w:rPr>
              <w:t>$30,000,000</w:t>
            </w:r>
          </w:p>
        </w:tc>
        <w:tc>
          <w:tcPr>
            <w:tcW w:w="1296" w:type="dxa"/>
            <w:tcBorders>
              <w:top w:val="single" w:sz="4" w:space="0" w:color="CCCCCC"/>
              <w:bottom w:val="single" w:sz="4" w:space="0" w:color="CCCCCC"/>
            </w:tcBorders>
            <w:shd w:val="clear" w:color="auto" w:fill="E6ECF2"/>
            <w:tcMar>
              <w:top w:w="80" w:type="dxa"/>
              <w:left w:w="100" w:type="dxa"/>
              <w:bottom w:w="80" w:type="dxa"/>
              <w:right w:w="100" w:type="dxa"/>
            </w:tcMar>
          </w:tcPr>
          <w:p w14:paraId="7F141FFE" w14:textId="77777777" w:rsidR="00D9408C" w:rsidRDefault="00000000">
            <w:pPr>
              <w:spacing w:after="0" w:line="252" w:lineRule="auto"/>
            </w:pPr>
            <w:r>
              <w:rPr>
                <w:b/>
                <w:color w:val="182B49"/>
                <w:sz w:val="17"/>
              </w:rPr>
              <w:t>$38,235,000</w:t>
            </w:r>
          </w:p>
        </w:tc>
        <w:tc>
          <w:tcPr>
            <w:tcW w:w="1872" w:type="dxa"/>
            <w:tcBorders>
              <w:top w:val="single" w:sz="4" w:space="0" w:color="CCCCCC"/>
              <w:bottom w:val="single" w:sz="4" w:space="0" w:color="CCCCCC"/>
            </w:tcBorders>
            <w:shd w:val="clear" w:color="auto" w:fill="E6ECF2"/>
            <w:tcMar>
              <w:top w:w="80" w:type="dxa"/>
              <w:left w:w="100" w:type="dxa"/>
              <w:bottom w:w="80" w:type="dxa"/>
              <w:right w:w="100" w:type="dxa"/>
            </w:tcMar>
          </w:tcPr>
          <w:p w14:paraId="421C5BA5" w14:textId="77777777" w:rsidR="00D9408C" w:rsidRDefault="00000000">
            <w:pPr>
              <w:spacing w:after="0" w:line="252" w:lineRule="auto"/>
            </w:pPr>
            <w:r>
              <w:rPr>
                <w:b/>
                <w:color w:val="182B49"/>
                <w:sz w:val="17"/>
              </w:rPr>
              <w:t>Leveraged Ratio: 1 : 1.27</w:t>
            </w:r>
          </w:p>
        </w:tc>
      </w:tr>
    </w:tbl>
    <w:p w14:paraId="45B43FBF" w14:textId="77777777" w:rsidR="00D9408C" w:rsidRDefault="00D9408C">
      <w:pPr>
        <w:spacing w:after="240"/>
      </w:pPr>
    </w:p>
    <w:p w14:paraId="2EFE5316" w14:textId="77777777" w:rsidR="00D9408C" w:rsidRDefault="00000000">
      <w:pPr>
        <w:keepNext/>
        <w:pBdr>
          <w:bottom w:val="single" w:sz="12" w:space="4" w:color="182B49"/>
        </w:pBdr>
        <w:spacing w:before="360"/>
      </w:pPr>
      <w:r>
        <w:rPr>
          <w:b/>
          <w:color w:val="182B49"/>
          <w:sz w:val="30"/>
        </w:rPr>
        <w:t>Conclusion &amp; Action Requested</w:t>
      </w:r>
    </w:p>
    <w:p w14:paraId="6DC63E84" w14:textId="77777777" w:rsidR="00D9408C" w:rsidRDefault="00000000">
      <w:r>
        <w:t>By approving a 30-year TIF Agreement structured to yield $30,000,000 in net bond proceeds, the City of Monroe will empower the SEDD to immediately launch Phase 1 projects while establishing the essential matching capital necessary to capture $38.2 million in state, federal, and private investment.</w:t>
      </w:r>
    </w:p>
    <w:p w14:paraId="695951C0" w14:textId="77777777" w:rsidR="00D9408C" w:rsidRDefault="00000000">
      <w:r>
        <w:t>The SEDD requests that the Mayor and City Council authorize administration to negotiate the formal TIF agreement terms and collaborate with municipal bond counsel to size the initial bond issuance.</w:t>
      </w:r>
    </w:p>
    <w:p w14:paraId="22A22013" w14:textId="77777777" w:rsidR="00D9408C" w:rsidRDefault="00000000">
      <w:pPr>
        <w:spacing w:before="360" w:after="0"/>
      </w:pPr>
      <w:r>
        <w:t>Respectfully submitted,</w:t>
      </w:r>
      <w:r>
        <w:br/>
      </w:r>
      <w:r>
        <w:br/>
      </w:r>
      <w:r>
        <w:rPr>
          <w:b/>
          <w:color w:val="182B49"/>
        </w:rPr>
        <w:t>Vicki Lang</w:t>
      </w:r>
      <w:r>
        <w:rPr>
          <w:b/>
          <w:color w:val="182B49"/>
        </w:rPr>
        <w:br/>
      </w:r>
      <w:r>
        <w:rPr>
          <w:color w:val="666666"/>
        </w:rPr>
        <w:t>President, Southside Economic Development District</w:t>
      </w:r>
    </w:p>
    <w:sectPr w:rsidR="00D9408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8499476">
    <w:abstractNumId w:val="8"/>
  </w:num>
  <w:num w:numId="2" w16cid:durableId="1345476212">
    <w:abstractNumId w:val="6"/>
  </w:num>
  <w:num w:numId="3" w16cid:durableId="641157373">
    <w:abstractNumId w:val="5"/>
  </w:num>
  <w:num w:numId="4" w16cid:durableId="569079013">
    <w:abstractNumId w:val="4"/>
  </w:num>
  <w:num w:numId="5" w16cid:durableId="496044292">
    <w:abstractNumId w:val="7"/>
  </w:num>
  <w:num w:numId="6" w16cid:durableId="1702515012">
    <w:abstractNumId w:val="3"/>
  </w:num>
  <w:num w:numId="7" w16cid:durableId="997729842">
    <w:abstractNumId w:val="2"/>
  </w:num>
  <w:num w:numId="8" w16cid:durableId="626819023">
    <w:abstractNumId w:val="1"/>
  </w:num>
  <w:num w:numId="9" w16cid:durableId="766972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7105"/>
    <w:rsid w:val="00471EF7"/>
    <w:rsid w:val="005B5B1E"/>
    <w:rsid w:val="00AA1D8D"/>
    <w:rsid w:val="00B47730"/>
    <w:rsid w:val="00CB0664"/>
    <w:rsid w:val="00D9408C"/>
    <w:rsid w:val="00F613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24A71C"/>
  <w14:defaultImageDpi w14:val="300"/>
  <w15:docId w15:val="{311158E9-B5F1-4560-99E7-C4A5D37E7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333333"/>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2151</Words>
  <Characters>12265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Roosevelt Wright</cp:lastModifiedBy>
  <cp:revision>3</cp:revision>
  <dcterms:created xsi:type="dcterms:W3CDTF">2026-09-26T21:25:00Z</dcterms:created>
  <dcterms:modified xsi:type="dcterms:W3CDTF">2026-10-25T23:21:00Z</dcterms:modified>
  <cp:category/>
</cp:coreProperties>
</file>